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8F78A" w14:textId="77777777" w:rsidR="000B2C8D" w:rsidRPr="008319BB" w:rsidRDefault="000B2C8D" w:rsidP="000B2C8D">
      <w:pPr>
        <w:rPr>
          <w:rFonts w:ascii="Times New Roman" w:hAnsi="Times New Roman" w:cs="Times New Roman"/>
        </w:rPr>
      </w:pPr>
      <w:r>
        <w:rPr>
          <w:rFonts w:ascii="Times New Roman" w:hAnsi="Times New Roman" w:cs="Times New Roman"/>
        </w:rPr>
        <w:t>January 28, 2019</w:t>
      </w:r>
    </w:p>
    <w:p w14:paraId="146D4E11" w14:textId="77777777" w:rsidR="000B2C8D" w:rsidRPr="008319BB" w:rsidRDefault="000B2C8D" w:rsidP="000B2C8D">
      <w:pPr>
        <w:rPr>
          <w:rFonts w:ascii="Times New Roman" w:hAnsi="Times New Roman" w:cs="Times New Roman"/>
        </w:rPr>
      </w:pPr>
      <w:r w:rsidRPr="008319BB">
        <w:rPr>
          <w:rFonts w:ascii="Times New Roman" w:hAnsi="Times New Roman" w:cs="Times New Roman"/>
        </w:rPr>
        <w:t xml:space="preserve">Submitted via </w:t>
      </w:r>
      <w:hyperlink r:id="rId8" w:history="1">
        <w:r w:rsidRPr="008319BB">
          <w:rPr>
            <w:rStyle w:val="Hyperlink"/>
            <w:rFonts w:ascii="Times New Roman" w:hAnsi="Times New Roman" w:cs="Times New Roman"/>
          </w:rPr>
          <w:t>www.regulations.gov</w:t>
        </w:r>
      </w:hyperlink>
    </w:p>
    <w:p w14:paraId="40589FFE" w14:textId="77777777" w:rsidR="000B2C8D" w:rsidRPr="008319BB" w:rsidRDefault="000B2C8D" w:rsidP="000B2C8D">
      <w:pPr>
        <w:spacing w:after="0"/>
        <w:rPr>
          <w:rFonts w:ascii="Times New Roman" w:hAnsi="Times New Roman" w:cs="Times New Roman"/>
        </w:rPr>
      </w:pPr>
      <w:r w:rsidRPr="008319BB">
        <w:rPr>
          <w:rFonts w:ascii="Times New Roman" w:hAnsi="Times New Roman" w:cs="Times New Roman"/>
        </w:rPr>
        <w:t>Kenneth L. Marcus</w:t>
      </w:r>
    </w:p>
    <w:p w14:paraId="22FEA77F" w14:textId="77777777" w:rsidR="000B2C8D" w:rsidRPr="008319BB" w:rsidRDefault="000B2C8D" w:rsidP="000B2C8D">
      <w:pPr>
        <w:spacing w:after="0"/>
        <w:rPr>
          <w:rFonts w:ascii="Times New Roman" w:hAnsi="Times New Roman" w:cs="Times New Roman"/>
        </w:rPr>
      </w:pPr>
      <w:r w:rsidRPr="008319BB">
        <w:rPr>
          <w:rFonts w:ascii="Times New Roman" w:hAnsi="Times New Roman" w:cs="Times New Roman"/>
        </w:rPr>
        <w:t>Assistant Secretary for Civil Rights</w:t>
      </w:r>
    </w:p>
    <w:p w14:paraId="1E6C6CE9" w14:textId="77777777" w:rsidR="000B2C8D" w:rsidRPr="008319BB" w:rsidRDefault="000B2C8D" w:rsidP="000B2C8D">
      <w:pPr>
        <w:spacing w:after="0"/>
        <w:rPr>
          <w:rFonts w:ascii="Times New Roman" w:hAnsi="Times New Roman" w:cs="Times New Roman"/>
        </w:rPr>
      </w:pPr>
      <w:r w:rsidRPr="008319BB">
        <w:rPr>
          <w:rFonts w:ascii="Times New Roman" w:hAnsi="Times New Roman" w:cs="Times New Roman"/>
        </w:rPr>
        <w:t>Department of Education</w:t>
      </w:r>
    </w:p>
    <w:p w14:paraId="409ADBD8" w14:textId="77777777" w:rsidR="000B2C8D" w:rsidRPr="008319BB" w:rsidRDefault="000B2C8D" w:rsidP="000B2C8D">
      <w:pPr>
        <w:spacing w:after="0"/>
        <w:rPr>
          <w:rFonts w:ascii="Times New Roman" w:hAnsi="Times New Roman" w:cs="Times New Roman"/>
        </w:rPr>
      </w:pPr>
      <w:r w:rsidRPr="008319BB">
        <w:rPr>
          <w:rFonts w:ascii="Times New Roman" w:hAnsi="Times New Roman" w:cs="Times New Roman"/>
        </w:rPr>
        <w:t>400 Maryland Avenue SW</w:t>
      </w:r>
    </w:p>
    <w:p w14:paraId="0FF0C5F6" w14:textId="77777777" w:rsidR="000B2C8D" w:rsidRPr="008319BB" w:rsidRDefault="000B2C8D" w:rsidP="000B2C8D">
      <w:pPr>
        <w:spacing w:after="0"/>
        <w:rPr>
          <w:rFonts w:ascii="Times New Roman" w:hAnsi="Times New Roman" w:cs="Times New Roman"/>
        </w:rPr>
      </w:pPr>
      <w:r w:rsidRPr="008319BB">
        <w:rPr>
          <w:rFonts w:ascii="Times New Roman" w:hAnsi="Times New Roman" w:cs="Times New Roman"/>
        </w:rPr>
        <w:t>Washington DC, 20202</w:t>
      </w:r>
    </w:p>
    <w:p w14:paraId="22E735B3" w14:textId="77777777" w:rsidR="000B2C8D" w:rsidRPr="008319BB" w:rsidRDefault="000B2C8D" w:rsidP="000B2C8D">
      <w:pPr>
        <w:spacing w:after="0"/>
        <w:rPr>
          <w:rFonts w:ascii="Times New Roman" w:hAnsi="Times New Roman" w:cs="Times New Roman"/>
        </w:rPr>
      </w:pPr>
    </w:p>
    <w:p w14:paraId="1B03EADF" w14:textId="77777777" w:rsidR="000B2C8D" w:rsidRPr="002D69D8" w:rsidRDefault="000B2C8D" w:rsidP="000B2C8D">
      <w:pPr>
        <w:spacing w:after="0"/>
        <w:rPr>
          <w:rFonts w:ascii="Times New Roman" w:hAnsi="Times New Roman" w:cs="Times New Roman"/>
          <w:b/>
          <w:i/>
        </w:rPr>
      </w:pPr>
      <w:r w:rsidRPr="002D69D8">
        <w:rPr>
          <w:rFonts w:ascii="Times New Roman" w:hAnsi="Times New Roman" w:cs="Times New Roman"/>
          <w:b/>
          <w:i/>
        </w:rPr>
        <w:t xml:space="preserve">Re: ED Docket No. ED-2018-OCR-0064, RIN 1870-AA14, Nondiscrimination on the Basis of Sex in Education Programs or Activities Receiving Federal Financial Assistance. </w:t>
      </w:r>
    </w:p>
    <w:p w14:paraId="0056347F" w14:textId="77777777" w:rsidR="000B2C8D" w:rsidRPr="008319BB" w:rsidRDefault="000B2C8D" w:rsidP="000B2C8D">
      <w:pPr>
        <w:spacing w:after="0"/>
        <w:rPr>
          <w:rFonts w:ascii="Times New Roman" w:hAnsi="Times New Roman" w:cs="Times New Roman"/>
        </w:rPr>
      </w:pPr>
    </w:p>
    <w:p w14:paraId="0628AA8E" w14:textId="77777777" w:rsidR="000B2C8D" w:rsidRPr="008319BB" w:rsidRDefault="000B2C8D" w:rsidP="000B2C8D">
      <w:pPr>
        <w:spacing w:after="0"/>
        <w:rPr>
          <w:rFonts w:ascii="Times New Roman" w:hAnsi="Times New Roman" w:cs="Times New Roman"/>
        </w:rPr>
      </w:pPr>
      <w:r w:rsidRPr="008319BB">
        <w:rPr>
          <w:rFonts w:ascii="Times New Roman" w:hAnsi="Times New Roman" w:cs="Times New Roman"/>
        </w:rPr>
        <w:t xml:space="preserve">Dear Mr. Marcus, </w:t>
      </w:r>
    </w:p>
    <w:p w14:paraId="6123C8D3" w14:textId="77777777" w:rsidR="000B2C8D" w:rsidRPr="008319BB" w:rsidRDefault="000B2C8D" w:rsidP="000B2C8D">
      <w:pPr>
        <w:spacing w:after="0"/>
        <w:rPr>
          <w:rFonts w:ascii="Times New Roman" w:hAnsi="Times New Roman" w:cs="Times New Roman"/>
        </w:rPr>
      </w:pPr>
    </w:p>
    <w:p w14:paraId="34DC3A8E" w14:textId="77777777" w:rsidR="000B2C8D" w:rsidRDefault="000B2C8D" w:rsidP="000B2C8D">
      <w:pPr>
        <w:spacing w:after="0"/>
        <w:rPr>
          <w:rFonts w:ascii="Times New Roman" w:hAnsi="Times New Roman" w:cs="Times New Roman"/>
        </w:rPr>
      </w:pPr>
      <w:r w:rsidRPr="008319BB">
        <w:rPr>
          <w:rFonts w:ascii="Times New Roman" w:hAnsi="Times New Roman" w:cs="Times New Roman"/>
        </w:rPr>
        <w:t>I am writing</w:t>
      </w:r>
      <w:r>
        <w:rPr>
          <w:rFonts w:ascii="Times New Roman" w:hAnsi="Times New Roman" w:cs="Times New Roman"/>
        </w:rPr>
        <w:t xml:space="preserve"> on behalf of the Sargent Shriver National Center on Poverty Law (Shriver Center)</w:t>
      </w:r>
      <w:r w:rsidRPr="008319BB">
        <w:rPr>
          <w:rFonts w:ascii="Times New Roman" w:hAnsi="Times New Roman" w:cs="Times New Roman"/>
        </w:rPr>
        <w:t xml:space="preserve"> in response to the Department of Education’s (</w:t>
      </w:r>
      <w:r>
        <w:rPr>
          <w:rFonts w:ascii="Times New Roman" w:hAnsi="Times New Roman" w:cs="Times New Roman"/>
        </w:rPr>
        <w:t>the Department</w:t>
      </w:r>
      <w:r w:rsidRPr="008319BB">
        <w:rPr>
          <w:rFonts w:ascii="Times New Roman" w:hAnsi="Times New Roman" w:cs="Times New Roman"/>
        </w:rPr>
        <w:t>) Notice of Proposed Rulemaking (“NPRM” or “proposed rules”) to express</w:t>
      </w:r>
      <w:r>
        <w:rPr>
          <w:rFonts w:ascii="Times New Roman" w:hAnsi="Times New Roman" w:cs="Times New Roman"/>
        </w:rPr>
        <w:t xml:space="preserve"> our</w:t>
      </w:r>
      <w:r w:rsidRPr="008319BB">
        <w:rPr>
          <w:rFonts w:ascii="Times New Roman" w:hAnsi="Times New Roman" w:cs="Times New Roman"/>
        </w:rPr>
        <w:t xml:space="preserve"> strong opposition to the </w:t>
      </w:r>
      <w:r>
        <w:rPr>
          <w:rFonts w:ascii="Times New Roman" w:hAnsi="Times New Roman" w:cs="Times New Roman"/>
        </w:rPr>
        <w:t>Department’s proposal to</w:t>
      </w:r>
      <w:r w:rsidRPr="008319BB">
        <w:rPr>
          <w:rFonts w:ascii="Times New Roman" w:hAnsi="Times New Roman" w:cs="Times New Roman"/>
        </w:rPr>
        <w:t xml:space="preserve"> amend rules</w:t>
      </w:r>
      <w:r>
        <w:rPr>
          <w:rFonts w:ascii="Times New Roman" w:hAnsi="Times New Roman" w:cs="Times New Roman"/>
        </w:rPr>
        <w:t xml:space="preserve"> implementing Title IX of the Education Amendment Act of 1972 (Title IX)</w:t>
      </w:r>
      <w:r w:rsidRPr="008319BB">
        <w:rPr>
          <w:rFonts w:ascii="Times New Roman" w:hAnsi="Times New Roman" w:cs="Times New Roman"/>
        </w:rPr>
        <w:t xml:space="preserve"> as published in the Federal Register on November </w:t>
      </w:r>
      <w:r w:rsidRPr="008319BB">
        <w:rPr>
          <w:rFonts w:ascii="Times New Roman" w:eastAsia="Times New Roman" w:hAnsi="Times New Roman" w:cs="Times New Roman"/>
        </w:rPr>
        <w:t>29</w:t>
      </w:r>
      <w:r w:rsidRPr="008319BB">
        <w:rPr>
          <w:rFonts w:ascii="Times New Roman" w:hAnsi="Times New Roman" w:cs="Times New Roman"/>
        </w:rPr>
        <w:t xml:space="preserve">, 2018. </w:t>
      </w:r>
    </w:p>
    <w:p w14:paraId="7FBF1C7E" w14:textId="77777777" w:rsidR="000B2C8D" w:rsidRDefault="000B2C8D" w:rsidP="000B2C8D">
      <w:pPr>
        <w:spacing w:after="0"/>
        <w:rPr>
          <w:rFonts w:ascii="Times New Roman" w:hAnsi="Times New Roman" w:cs="Times New Roman"/>
        </w:rPr>
      </w:pPr>
    </w:p>
    <w:p w14:paraId="61B515D7" w14:textId="77777777" w:rsidR="000B2C8D" w:rsidRDefault="000B2C8D" w:rsidP="000B2C8D">
      <w:pPr>
        <w:spacing w:after="0"/>
        <w:rPr>
          <w:rFonts w:ascii="Times New Roman" w:hAnsi="Times New Roman" w:cs="Times New Roman"/>
        </w:rPr>
      </w:pPr>
      <w:r>
        <w:rPr>
          <w:rFonts w:ascii="Times New Roman" w:hAnsi="Times New Roman" w:cs="Times New Roman"/>
        </w:rPr>
        <w:t xml:space="preserve">The Shriver Center has a vision of a nation free from poverty with justice, equity and opportunity for all. We work to improve the lives and opportunities of people with low income, by advancing laws and policies, through litigation and policy advocacy, that includes a long history of advocating on behalf of students and their right to an education free from discrimination, including their rights under Title IX.  </w:t>
      </w:r>
    </w:p>
    <w:p w14:paraId="7B13D3E9" w14:textId="77777777" w:rsidR="000B2C8D" w:rsidRDefault="000B2C8D" w:rsidP="000B2C8D">
      <w:pPr>
        <w:spacing w:after="0"/>
        <w:rPr>
          <w:rFonts w:ascii="Times New Roman" w:hAnsi="Times New Roman" w:cs="Times New Roman"/>
        </w:rPr>
      </w:pPr>
    </w:p>
    <w:p w14:paraId="31E6E842" w14:textId="77777777" w:rsidR="00E53642" w:rsidRDefault="000B2C8D" w:rsidP="000B2C8D">
      <w:pPr>
        <w:spacing w:after="0"/>
        <w:rPr>
          <w:rFonts w:ascii="Times New Roman" w:hAnsi="Times New Roman" w:cs="Times New Roman"/>
        </w:rPr>
      </w:pPr>
      <w:r>
        <w:rPr>
          <w:rFonts w:ascii="Times New Roman" w:hAnsi="Times New Roman" w:cs="Times New Roman"/>
        </w:rPr>
        <w:t xml:space="preserve">Since 2003, as the director of the Shriver Center’s Women’s Law and Policy Initiative, I have engaged in advocacy around gender-based violence experienced by elementary and secondary students and the </w:t>
      </w:r>
      <w:r w:rsidR="0011560B">
        <w:rPr>
          <w:rFonts w:ascii="Times New Roman" w:hAnsi="Times New Roman" w:cs="Times New Roman"/>
        </w:rPr>
        <w:t xml:space="preserve">too-often inadequate </w:t>
      </w:r>
      <w:r>
        <w:rPr>
          <w:rFonts w:ascii="Times New Roman" w:hAnsi="Times New Roman" w:cs="Times New Roman"/>
        </w:rPr>
        <w:t xml:space="preserve">response from school personnel. Most of this work has been through the Ensuring Success in School (ESS) Initiative and </w:t>
      </w:r>
      <w:r w:rsidR="0024362D">
        <w:rPr>
          <w:rFonts w:ascii="Times New Roman" w:hAnsi="Times New Roman" w:cs="Times New Roman"/>
        </w:rPr>
        <w:t>c</w:t>
      </w:r>
      <w:r>
        <w:rPr>
          <w:rFonts w:ascii="Times New Roman" w:hAnsi="Times New Roman" w:cs="Times New Roman"/>
        </w:rPr>
        <w:t xml:space="preserve">oalition. The goal of ESS is to ensure that students who are already parents, expectant parents, or survivors of sexual harassment and all forms of gender-based violence stay in school, stay safe, succeed academically, and complete their education. I have also worked on gender-based violence in post-secondary education and in the workplace. </w:t>
      </w:r>
    </w:p>
    <w:p w14:paraId="108A0630" w14:textId="77777777" w:rsidR="00E53642" w:rsidRDefault="00E53642" w:rsidP="000B2C8D">
      <w:pPr>
        <w:spacing w:after="0"/>
        <w:rPr>
          <w:rFonts w:ascii="Times New Roman" w:hAnsi="Times New Roman" w:cs="Times New Roman"/>
        </w:rPr>
      </w:pPr>
    </w:p>
    <w:p w14:paraId="42B586AF" w14:textId="01FB8852" w:rsidR="000B2C8D" w:rsidRDefault="000B2C8D" w:rsidP="000B2C8D">
      <w:pPr>
        <w:spacing w:after="0"/>
        <w:rPr>
          <w:rFonts w:ascii="Times New Roman" w:hAnsi="Times New Roman" w:cs="Times New Roman"/>
        </w:rPr>
      </w:pPr>
      <w:r>
        <w:rPr>
          <w:rFonts w:ascii="Times New Roman" w:hAnsi="Times New Roman" w:cs="Times New Roman"/>
        </w:rPr>
        <w:t>Regardless of age, the consequences of gender-based violence can be devastating, far-reaching, and long-lasting. Schools must respond to survivors who have experienced any kind of gender-based violence in a survivor-centered, trauma-informed manner. It does not matter how the violence is labeled—sexual harassment, sexual assault, rape, teen dating violence, domestic violence, cyberstalking, etc</w:t>
      </w:r>
      <w:r w:rsidR="002D4ED1">
        <w:rPr>
          <w:rFonts w:ascii="Times New Roman" w:hAnsi="Times New Roman" w:cs="Times New Roman"/>
        </w:rPr>
        <w:t>. N</w:t>
      </w:r>
      <w:r>
        <w:rPr>
          <w:rFonts w:ascii="Times New Roman" w:hAnsi="Times New Roman" w:cs="Times New Roman"/>
        </w:rPr>
        <w:t>or does it matter who the perpetrator is—another student, a teacher, a parent, a stranger</w:t>
      </w:r>
      <w:r w:rsidR="00D4032A">
        <w:rPr>
          <w:rFonts w:ascii="Times New Roman" w:hAnsi="Times New Roman" w:cs="Times New Roman"/>
        </w:rPr>
        <w:t xml:space="preserve">, </w:t>
      </w:r>
      <w:r>
        <w:rPr>
          <w:rFonts w:ascii="Times New Roman" w:hAnsi="Times New Roman" w:cs="Times New Roman"/>
        </w:rPr>
        <w:t>where the violence took place—on school grounds, down the block, or in another town</w:t>
      </w:r>
      <w:r w:rsidR="00D4032A">
        <w:rPr>
          <w:rFonts w:ascii="Times New Roman" w:hAnsi="Times New Roman" w:cs="Times New Roman"/>
        </w:rPr>
        <w:t>,</w:t>
      </w:r>
      <w:r>
        <w:rPr>
          <w:rFonts w:ascii="Times New Roman" w:hAnsi="Times New Roman" w:cs="Times New Roman"/>
        </w:rPr>
        <w:t xml:space="preserve"> or when the violence occurred—two days ago, two weeks ago, or two years ago</w:t>
      </w:r>
      <w:r w:rsidR="00D4032A">
        <w:rPr>
          <w:rFonts w:ascii="Times New Roman" w:hAnsi="Times New Roman" w:cs="Times New Roman"/>
        </w:rPr>
        <w:t xml:space="preserve">, </w:t>
      </w:r>
      <w:r>
        <w:rPr>
          <w:rFonts w:ascii="Times New Roman" w:hAnsi="Times New Roman" w:cs="Times New Roman"/>
        </w:rPr>
        <w:t>all schools have an obligation to respond to survivors in a manner that ensures their safety and that their education is not compromised or denied. The Shriver Center recently released</w:t>
      </w:r>
      <w:r w:rsidR="00D4032A">
        <w:rPr>
          <w:rFonts w:ascii="Times New Roman" w:hAnsi="Times New Roman" w:cs="Times New Roman"/>
        </w:rPr>
        <w:t xml:space="preserve"> a</w:t>
      </w:r>
      <w:r>
        <w:rPr>
          <w:rFonts w:ascii="Times New Roman" w:hAnsi="Times New Roman" w:cs="Times New Roman"/>
        </w:rPr>
        <w:t xml:space="preserve"> </w:t>
      </w:r>
      <w:hyperlink r:id="rId9" w:history="1">
        <w:r w:rsidRPr="00FF04C9">
          <w:rPr>
            <w:rStyle w:val="Hyperlink"/>
            <w:rFonts w:ascii="Times New Roman" w:hAnsi="Times New Roman" w:cs="Times New Roman"/>
          </w:rPr>
          <w:t>report</w:t>
        </w:r>
      </w:hyperlink>
      <w:r>
        <w:rPr>
          <w:rFonts w:ascii="Times New Roman" w:hAnsi="Times New Roman" w:cs="Times New Roman"/>
        </w:rPr>
        <w:t xml:space="preserve"> </w:t>
      </w:r>
      <w:r w:rsidR="00D4032A">
        <w:rPr>
          <w:rFonts w:ascii="Times New Roman" w:hAnsi="Times New Roman" w:cs="Times New Roman"/>
        </w:rPr>
        <w:t xml:space="preserve">that </w:t>
      </w:r>
      <w:r>
        <w:rPr>
          <w:rFonts w:ascii="Times New Roman" w:hAnsi="Times New Roman" w:cs="Times New Roman"/>
        </w:rPr>
        <w:t>demonstrates the inadequacy of schools’ responses to the needs and concerns of elementary and secondary student survivors, arguing against any retreat on Title IX laws, regulations, or policies as the proposed rules do.</w:t>
      </w:r>
    </w:p>
    <w:p w14:paraId="48FCB6EC" w14:textId="77777777" w:rsidR="000B2C8D" w:rsidRPr="008319BB" w:rsidRDefault="000B2C8D" w:rsidP="000B2C8D">
      <w:pPr>
        <w:spacing w:after="0"/>
        <w:rPr>
          <w:rFonts w:ascii="Times New Roman" w:hAnsi="Times New Roman" w:cs="Times New Roman"/>
        </w:rPr>
      </w:pPr>
    </w:p>
    <w:p w14:paraId="50A7C268" w14:textId="3BBDA6CC" w:rsidR="000B2C8D" w:rsidRDefault="000B2C8D" w:rsidP="000B2C8D">
      <w:pPr>
        <w:pStyle w:val="NormalWeb"/>
        <w:numPr>
          <w:ilvl w:val="0"/>
          <w:numId w:val="27"/>
        </w:numPr>
        <w:spacing w:before="0" w:beforeAutospacing="0" w:after="0" w:afterAutospacing="0"/>
        <w:jc w:val="both"/>
        <w:rPr>
          <w:b/>
          <w:bCs/>
          <w:sz w:val="22"/>
          <w:szCs w:val="22"/>
          <w:u w:val="single"/>
        </w:rPr>
      </w:pPr>
      <w:r w:rsidRPr="008319BB">
        <w:rPr>
          <w:b/>
          <w:bCs/>
          <w:sz w:val="22"/>
          <w:szCs w:val="22"/>
          <w:u w:val="single"/>
        </w:rPr>
        <w:t>The proposed rules fail to respond to the realities of sexual harassment in schools.</w:t>
      </w:r>
    </w:p>
    <w:p w14:paraId="75B4A6C4" w14:textId="77777777" w:rsidR="004D7FFE" w:rsidRPr="008319BB" w:rsidRDefault="004D7FFE" w:rsidP="004D7FFE">
      <w:pPr>
        <w:pStyle w:val="NormalWeb"/>
        <w:spacing w:before="0" w:beforeAutospacing="0" w:after="0" w:afterAutospacing="0"/>
        <w:jc w:val="both"/>
        <w:rPr>
          <w:b/>
          <w:bCs/>
          <w:sz w:val="22"/>
          <w:szCs w:val="22"/>
          <w:u w:val="single"/>
        </w:rPr>
      </w:pPr>
    </w:p>
    <w:p w14:paraId="4ED9F648" w14:textId="33E52D58" w:rsidR="000B2C8D" w:rsidRPr="008319BB" w:rsidRDefault="000B2C8D" w:rsidP="00682B28">
      <w:pPr>
        <w:pStyle w:val="NormalWeb"/>
        <w:spacing w:before="0" w:beforeAutospacing="0" w:after="0" w:afterAutospacing="0"/>
        <w:jc w:val="both"/>
        <w:rPr>
          <w:sz w:val="22"/>
          <w:szCs w:val="22"/>
          <w:u w:val="single"/>
        </w:rPr>
      </w:pPr>
      <w:r w:rsidRPr="009410E1">
        <w:rPr>
          <w:color w:val="000000"/>
          <w:sz w:val="22"/>
          <w:szCs w:val="22"/>
        </w:rPr>
        <w:t>The proposed rules ignore the devastating impact of sexual violence in schools. Instead of effectuating Title IX’s purpose of keeping students safe from sexual abuse and other forms of sexual harassment</w:t>
      </w:r>
      <w:r w:rsidRPr="009410E1">
        <w:rPr>
          <w:color w:val="000000"/>
          <w:sz w:val="22"/>
          <w:szCs w:val="22"/>
        </w:rPr>
        <w:sym w:font="Symbol" w:char="F0BE"/>
      </w:r>
      <w:r w:rsidRPr="009410E1">
        <w:rPr>
          <w:color w:val="000000"/>
          <w:sz w:val="22"/>
          <w:szCs w:val="22"/>
        </w:rPr>
        <w:t>that is, from unlawful sex discrimination</w:t>
      </w:r>
      <w:r w:rsidRPr="009410E1">
        <w:rPr>
          <w:color w:val="000000"/>
          <w:sz w:val="22"/>
          <w:szCs w:val="22"/>
        </w:rPr>
        <w:sym w:font="Symbol" w:char="F0BE"/>
      </w:r>
      <w:r w:rsidRPr="009410E1">
        <w:rPr>
          <w:color w:val="000000"/>
          <w:sz w:val="22"/>
          <w:szCs w:val="22"/>
        </w:rPr>
        <w:t>they make it harder for students to report abuse, allow (and sometimes require) schools to ignore reports when they are made, and unfairly tilt the investigation process in favor of respondents to the direct detriment of survivors. For the reasons discussed at length in this comment</w:t>
      </w:r>
      <w:r>
        <w:rPr>
          <w:color w:val="000000"/>
          <w:sz w:val="22"/>
          <w:szCs w:val="22"/>
        </w:rPr>
        <w:t>,</w:t>
      </w:r>
      <w:r w:rsidRPr="009410E1">
        <w:rPr>
          <w:color w:val="000000"/>
          <w:sz w:val="22"/>
          <w:szCs w:val="22"/>
        </w:rPr>
        <w:t xml:space="preserve"> </w:t>
      </w:r>
      <w:r>
        <w:rPr>
          <w:color w:val="000000"/>
          <w:sz w:val="22"/>
          <w:szCs w:val="22"/>
        </w:rPr>
        <w:t xml:space="preserve">Shriver Center </w:t>
      </w:r>
      <w:r w:rsidRPr="009410E1">
        <w:rPr>
          <w:color w:val="000000"/>
          <w:sz w:val="22"/>
          <w:szCs w:val="22"/>
        </w:rPr>
        <w:t xml:space="preserve">unequivocally opposes </w:t>
      </w:r>
      <w:r>
        <w:rPr>
          <w:color w:val="000000"/>
          <w:sz w:val="22"/>
          <w:szCs w:val="22"/>
        </w:rPr>
        <w:t>the Department</w:t>
      </w:r>
      <w:r w:rsidRPr="009410E1">
        <w:rPr>
          <w:color w:val="000000"/>
          <w:sz w:val="22"/>
          <w:szCs w:val="22"/>
        </w:rPr>
        <w:t>’s proposed rule</w:t>
      </w:r>
      <w:r w:rsidR="00EC7163">
        <w:rPr>
          <w:color w:val="000000"/>
          <w:sz w:val="22"/>
          <w:szCs w:val="22"/>
        </w:rPr>
        <w:t>s</w:t>
      </w:r>
      <w:r w:rsidRPr="009410E1">
        <w:rPr>
          <w:color w:val="000000"/>
          <w:sz w:val="22"/>
          <w:szCs w:val="22"/>
        </w:rPr>
        <w:t>.</w:t>
      </w:r>
    </w:p>
    <w:p w14:paraId="1ACA1495" w14:textId="77777777" w:rsidR="000B2C8D" w:rsidRPr="008319BB" w:rsidRDefault="000B2C8D" w:rsidP="000B2C8D">
      <w:pPr>
        <w:pStyle w:val="NormalWeb"/>
        <w:spacing w:before="0" w:beforeAutospacing="0" w:after="0" w:afterAutospacing="0"/>
        <w:jc w:val="both"/>
        <w:rPr>
          <w:sz w:val="22"/>
          <w:szCs w:val="22"/>
        </w:rPr>
      </w:pPr>
      <w:r w:rsidRPr="008319BB">
        <w:rPr>
          <w:sz w:val="22"/>
          <w:szCs w:val="22"/>
        </w:rPr>
        <w:tab/>
      </w:r>
    </w:p>
    <w:p w14:paraId="5584453C" w14:textId="77777777" w:rsidR="000B2C8D" w:rsidRPr="008319BB" w:rsidRDefault="000B2C8D" w:rsidP="000B2C8D">
      <w:pPr>
        <w:pStyle w:val="NormalWeb"/>
        <w:numPr>
          <w:ilvl w:val="0"/>
          <w:numId w:val="21"/>
        </w:numPr>
        <w:spacing w:before="0" w:beforeAutospacing="0" w:after="0" w:afterAutospacing="0"/>
        <w:jc w:val="both"/>
        <w:rPr>
          <w:b/>
          <w:bCs/>
          <w:sz w:val="22"/>
          <w:szCs w:val="22"/>
        </w:rPr>
      </w:pPr>
      <w:r w:rsidRPr="008319BB">
        <w:rPr>
          <w:b/>
          <w:bCs/>
          <w:sz w:val="22"/>
          <w:szCs w:val="22"/>
        </w:rPr>
        <w:t xml:space="preserve">Sexual harassment is far too common in our schools. </w:t>
      </w:r>
    </w:p>
    <w:p w14:paraId="4E60F5F9" w14:textId="77777777" w:rsidR="000B2C8D" w:rsidRPr="008319BB" w:rsidRDefault="000B2C8D" w:rsidP="000B2C8D">
      <w:pPr>
        <w:pStyle w:val="NormalWeb"/>
        <w:spacing w:before="0" w:beforeAutospacing="0" w:after="0" w:afterAutospacing="0"/>
        <w:ind w:left="720"/>
        <w:jc w:val="both"/>
        <w:rPr>
          <w:b/>
          <w:sz w:val="22"/>
          <w:szCs w:val="22"/>
        </w:rPr>
      </w:pPr>
    </w:p>
    <w:p w14:paraId="78C92FDD" w14:textId="77777777" w:rsidR="000B2C8D" w:rsidRPr="008319BB" w:rsidRDefault="000B2C8D" w:rsidP="000B2C8D">
      <w:pPr>
        <w:spacing w:after="0" w:line="240" w:lineRule="auto"/>
        <w:ind w:firstLine="720"/>
        <w:textAlignment w:val="baseline"/>
        <w:rPr>
          <w:rFonts w:ascii="Times New Roman" w:hAnsi="Times New Roman" w:cs="Times New Roman"/>
          <w:color w:val="000000"/>
        </w:rPr>
      </w:pPr>
      <w:r w:rsidRPr="008319BB">
        <w:rPr>
          <w:rFonts w:ascii="Times New Roman" w:eastAsia="Times New Roman" w:hAnsi="Times New Roman" w:cs="Times New Roman"/>
          <w:color w:val="000000"/>
        </w:rPr>
        <w:t>Far too many students experience sexual harassment:</w:t>
      </w:r>
      <w:r>
        <w:rPr>
          <w:rFonts w:ascii="Times New Roman" w:hAnsi="Times New Roman" w:cs="Times New Roman"/>
          <w:color w:val="000000"/>
        </w:rPr>
        <w:t xml:space="preserve"> </w:t>
      </w:r>
    </w:p>
    <w:p w14:paraId="593E2C64" w14:textId="77777777" w:rsidR="000B2C8D" w:rsidRPr="008319BB" w:rsidRDefault="000B2C8D" w:rsidP="000B2C8D">
      <w:pPr>
        <w:pStyle w:val="ListParagraph"/>
        <w:numPr>
          <w:ilvl w:val="0"/>
          <w:numId w:val="28"/>
        </w:numPr>
        <w:spacing w:after="0" w:line="240" w:lineRule="auto"/>
        <w:textAlignment w:val="baseline"/>
        <w:rPr>
          <w:rFonts w:ascii="Times New Roman" w:eastAsia="Times New Roman" w:hAnsi="Times New Roman" w:cs="Times New Roman"/>
          <w:color w:val="000000" w:themeColor="text1"/>
        </w:rPr>
      </w:pPr>
      <w:r w:rsidRPr="008319BB">
        <w:rPr>
          <w:rFonts w:ascii="Times New Roman" w:hAnsi="Times New Roman" w:cs="Times New Roman"/>
          <w:color w:val="000000"/>
        </w:rPr>
        <w:t xml:space="preserve">In grades 7-12, </w:t>
      </w:r>
      <w:r w:rsidRPr="008319BB">
        <w:rPr>
          <w:rFonts w:ascii="Times New Roman" w:hAnsi="Times New Roman" w:cs="Times New Roman"/>
        </w:rPr>
        <w:t>56% of girls and 40% of boys are sexually harassed in any given school year.</w:t>
      </w:r>
      <w:bookmarkStart w:id="0" w:name="_Ref532941452"/>
      <w:r w:rsidRPr="008319BB">
        <w:rPr>
          <w:rStyle w:val="FootnoteReference"/>
          <w:rFonts w:cs="Times New Roman"/>
        </w:rPr>
        <w:footnoteReference w:id="1"/>
      </w:r>
      <w:bookmarkEnd w:id="0"/>
      <w:r w:rsidRPr="008319BB">
        <w:rPr>
          <w:rFonts w:ascii="Times New Roman" w:hAnsi="Times New Roman" w:cs="Times New Roman"/>
        </w:rPr>
        <w:t xml:space="preserve"> </w:t>
      </w:r>
      <w:r w:rsidRPr="008319BB">
        <w:rPr>
          <w:rFonts w:ascii="Times New Roman" w:hAnsi="Times New Roman" w:cs="Times New Roman"/>
          <w:color w:val="000000"/>
        </w:rPr>
        <w:t>More than 1 in 5 girls ages 14-18 are kissed or touched without their consent.</w:t>
      </w:r>
      <w:bookmarkStart w:id="1" w:name="_Ref532941243"/>
      <w:r w:rsidRPr="008319BB">
        <w:rPr>
          <w:rStyle w:val="FootnoteReference"/>
          <w:rFonts w:eastAsia="Times New Roman" w:cs="Times New Roman"/>
          <w:color w:val="000000"/>
        </w:rPr>
        <w:footnoteReference w:id="2"/>
      </w:r>
      <w:bookmarkEnd w:id="1"/>
      <w:r w:rsidRPr="008319BB">
        <w:rPr>
          <w:rFonts w:ascii="Times New Roman" w:hAnsi="Times New Roman" w:cs="Times New Roman"/>
          <w:color w:val="000000"/>
        </w:rPr>
        <w:t xml:space="preserve"> </w:t>
      </w:r>
    </w:p>
    <w:p w14:paraId="4139E2F4" w14:textId="77777777" w:rsidR="000B2C8D" w:rsidRPr="008319BB" w:rsidRDefault="000B2C8D" w:rsidP="000B2C8D">
      <w:pPr>
        <w:pStyle w:val="ListParagraph"/>
        <w:numPr>
          <w:ilvl w:val="0"/>
          <w:numId w:val="28"/>
        </w:numPr>
        <w:spacing w:after="0" w:line="240" w:lineRule="auto"/>
        <w:textAlignment w:val="baseline"/>
        <w:rPr>
          <w:rFonts w:ascii="Times New Roman" w:eastAsia="Times New Roman" w:hAnsi="Times New Roman" w:cs="Times New Roman"/>
          <w:color w:val="000000" w:themeColor="text1"/>
        </w:rPr>
      </w:pPr>
      <w:r w:rsidRPr="008319BB">
        <w:rPr>
          <w:rFonts w:ascii="Times New Roman" w:hAnsi="Times New Roman" w:cs="Times New Roman"/>
          <w:color w:val="000000"/>
        </w:rPr>
        <w:t>During college, 62% of women and 61% of men experience sexual harassment.</w:t>
      </w:r>
      <w:r w:rsidRPr="008319BB">
        <w:rPr>
          <w:rStyle w:val="FootnoteReference"/>
          <w:rFonts w:eastAsia="Times New Roman" w:cs="Times New Roman"/>
          <w:color w:val="000000"/>
        </w:rPr>
        <w:footnoteReference w:id="3"/>
      </w:r>
      <w:r w:rsidRPr="008319BB">
        <w:rPr>
          <w:rFonts w:ascii="Times New Roman" w:hAnsi="Times New Roman" w:cs="Times New Roman"/>
          <w:color w:val="000000"/>
        </w:rPr>
        <w:t xml:space="preserve"> </w:t>
      </w:r>
      <w:r w:rsidRPr="008319BB">
        <w:rPr>
          <w:rFonts w:ascii="Times New Roman" w:eastAsia="Times New Roman" w:hAnsi="Times New Roman" w:cs="Times New Roman"/>
          <w:color w:val="000000"/>
        </w:rPr>
        <w:t>More than 1 in 5 women</w:t>
      </w:r>
      <w:r>
        <w:rPr>
          <w:rFonts w:ascii="Times New Roman" w:eastAsia="Times New Roman" w:hAnsi="Times New Roman" w:cs="Times New Roman"/>
          <w:color w:val="000000"/>
        </w:rPr>
        <w:t xml:space="preserve"> and</w:t>
      </w:r>
      <w:r w:rsidRPr="008319BB">
        <w:rPr>
          <w:rFonts w:ascii="Times New Roman" w:eastAsia="Times New Roman" w:hAnsi="Times New Roman" w:cs="Times New Roman"/>
          <w:color w:val="000000"/>
        </w:rPr>
        <w:t xml:space="preserve"> nearly 1 in 18 men</w:t>
      </w:r>
      <w:r w:rsidRPr="008319BB">
        <w:rPr>
          <w:rFonts w:ascii="Times New Roman" w:hAnsi="Times New Roman" w:cs="Times New Roman"/>
          <w:color w:val="000000"/>
        </w:rPr>
        <w:t xml:space="preserve"> are sexually assaulted in college.</w:t>
      </w:r>
      <w:bookmarkStart w:id="2" w:name="_Ref532941039"/>
      <w:r w:rsidRPr="008319BB">
        <w:rPr>
          <w:rStyle w:val="FootnoteReference"/>
          <w:rFonts w:eastAsia="Times New Roman" w:cs="Times New Roman"/>
          <w:color w:val="000000"/>
        </w:rPr>
        <w:footnoteReference w:id="4"/>
      </w:r>
      <w:bookmarkEnd w:id="2"/>
    </w:p>
    <w:p w14:paraId="64C47052" w14:textId="77777777" w:rsidR="000B2C8D" w:rsidRPr="008319BB" w:rsidRDefault="000B2C8D" w:rsidP="000B2C8D">
      <w:pPr>
        <w:pStyle w:val="ListParagraph"/>
        <w:numPr>
          <w:ilvl w:val="0"/>
          <w:numId w:val="28"/>
        </w:numPr>
        <w:spacing w:after="0" w:line="240" w:lineRule="auto"/>
        <w:textAlignment w:val="baseline"/>
        <w:rPr>
          <w:rFonts w:ascii="Times New Roman" w:eastAsia="Times New Roman" w:hAnsi="Times New Roman" w:cs="Times New Roman"/>
          <w:color w:val="000000" w:themeColor="text1"/>
        </w:rPr>
      </w:pPr>
      <w:r w:rsidRPr="008319BB">
        <w:rPr>
          <w:rFonts w:ascii="Times New Roman" w:eastAsia="Times New Roman" w:hAnsi="Times New Roman" w:cs="Times New Roman"/>
          <w:color w:val="000000"/>
        </w:rPr>
        <w:t>Men and boys are far more likely to be victims of sexual assault than to be falsely accused of it.</w:t>
      </w:r>
      <w:bookmarkStart w:id="3" w:name="_Ref533076636"/>
      <w:r w:rsidRPr="1627AC4F">
        <w:rPr>
          <w:rStyle w:val="FootnoteReference"/>
          <w:rFonts w:eastAsia="Times New Roman" w:cs="Times New Roman"/>
          <w:color w:val="000000"/>
        </w:rPr>
        <w:footnoteReference w:id="5"/>
      </w:r>
      <w:bookmarkEnd w:id="3"/>
      <w:r w:rsidRPr="008319BB">
        <w:rPr>
          <w:rFonts w:ascii="Times New Roman" w:eastAsia="Times New Roman" w:hAnsi="Times New Roman" w:cs="Times New Roman"/>
          <w:color w:val="000000"/>
        </w:rPr>
        <w:t xml:space="preserve"> </w:t>
      </w:r>
    </w:p>
    <w:p w14:paraId="5F15F724" w14:textId="77777777" w:rsidR="000B2C8D" w:rsidRPr="008319BB" w:rsidRDefault="000B2C8D" w:rsidP="000B2C8D">
      <w:pPr>
        <w:spacing w:after="0" w:line="240" w:lineRule="auto"/>
        <w:textAlignment w:val="baseline"/>
        <w:rPr>
          <w:rFonts w:ascii="Times New Roman" w:hAnsi="Times New Roman" w:cs="Times New Roman"/>
          <w:color w:val="000000"/>
        </w:rPr>
      </w:pPr>
    </w:p>
    <w:p w14:paraId="68B71BDC" w14:textId="77777777" w:rsidR="000B2C8D" w:rsidRPr="008319BB" w:rsidRDefault="000B2C8D" w:rsidP="0069762C">
      <w:pPr>
        <w:spacing w:after="0" w:line="240" w:lineRule="auto"/>
        <w:ind w:firstLine="720"/>
        <w:textAlignment w:val="baseline"/>
        <w:rPr>
          <w:rFonts w:ascii="Times New Roman" w:hAnsi="Times New Roman" w:cs="Times New Roman"/>
          <w:color w:val="000000" w:themeColor="text1"/>
        </w:rPr>
      </w:pPr>
      <w:r w:rsidRPr="008319BB">
        <w:rPr>
          <w:rFonts w:ascii="Times New Roman" w:hAnsi="Times New Roman" w:cs="Times New Roman"/>
          <w:color w:val="000000"/>
        </w:rPr>
        <w:t xml:space="preserve">Historically marginalized and underrepresented groups are more likely to experience sexual harassment than their peers: </w:t>
      </w:r>
    </w:p>
    <w:p w14:paraId="53B4A375" w14:textId="77777777" w:rsidR="000B2C8D" w:rsidRPr="008319BB" w:rsidRDefault="000B2C8D" w:rsidP="000B2C8D">
      <w:pPr>
        <w:pStyle w:val="ListParagraph"/>
        <w:numPr>
          <w:ilvl w:val="0"/>
          <w:numId w:val="29"/>
        </w:numPr>
        <w:spacing w:after="0" w:line="240" w:lineRule="auto"/>
        <w:textAlignment w:val="baseline"/>
        <w:rPr>
          <w:rFonts w:ascii="Times New Roman" w:hAnsi="Times New Roman" w:cs="Times New Roman"/>
          <w:color w:val="000000" w:themeColor="text1"/>
        </w:rPr>
      </w:pPr>
      <w:r w:rsidRPr="008319BB">
        <w:rPr>
          <w:rFonts w:ascii="Times New Roman" w:hAnsi="Times New Roman" w:cs="Times New Roman"/>
          <w:color w:val="000000"/>
        </w:rPr>
        <w:t>56% of girls ages 14-18 who are pregnant or parenting are kissed or touched without their consent.</w:t>
      </w:r>
      <w:bookmarkStart w:id="4" w:name="_Ref533077231"/>
      <w:r w:rsidRPr="1627AC4F">
        <w:rPr>
          <w:rStyle w:val="FootnoteReference"/>
          <w:rFonts w:eastAsia="Times New Roman" w:cs="Times New Roman"/>
          <w:color w:val="000000"/>
        </w:rPr>
        <w:footnoteReference w:id="6"/>
      </w:r>
      <w:bookmarkEnd w:id="4"/>
      <w:r w:rsidRPr="008319BB">
        <w:rPr>
          <w:rFonts w:ascii="Times New Roman" w:hAnsi="Times New Roman" w:cs="Times New Roman"/>
          <w:color w:val="000000"/>
        </w:rPr>
        <w:t xml:space="preserve"> </w:t>
      </w:r>
    </w:p>
    <w:p w14:paraId="53EFA5DB" w14:textId="77777777" w:rsidR="000B2C8D" w:rsidRPr="00853F23" w:rsidRDefault="000B2C8D" w:rsidP="000B2C8D">
      <w:pPr>
        <w:pStyle w:val="ListParagraph"/>
        <w:numPr>
          <w:ilvl w:val="0"/>
          <w:numId w:val="29"/>
        </w:numPr>
        <w:spacing w:after="0" w:line="240" w:lineRule="auto"/>
        <w:textAlignment w:val="baseline"/>
        <w:rPr>
          <w:rFonts w:ascii="Times New Roman" w:hAnsi="Times New Roman" w:cs="Times New Roman"/>
          <w:color w:val="000000" w:themeColor="text1"/>
        </w:rPr>
      </w:pPr>
      <w:r w:rsidRPr="008319BB">
        <w:rPr>
          <w:rFonts w:ascii="Times New Roman" w:hAnsi="Times New Roman" w:cs="Times New Roman"/>
          <w:color w:val="000000"/>
        </w:rPr>
        <w:t>More than half of LGBTQ students ages 13-21 are sexually harassed at school</w:t>
      </w:r>
      <w:r>
        <w:rPr>
          <w:rFonts w:ascii="Times New Roman" w:hAnsi="Times New Roman" w:cs="Times New Roman"/>
          <w:color w:val="000000"/>
        </w:rPr>
        <w:t>.</w:t>
      </w:r>
      <w:bookmarkStart w:id="5" w:name="_Ref533077267"/>
      <w:r w:rsidRPr="1627AC4F">
        <w:rPr>
          <w:rStyle w:val="FootnoteReference"/>
          <w:rFonts w:cs="Times New Roman"/>
        </w:rPr>
        <w:footnoteReference w:id="7"/>
      </w:r>
      <w:bookmarkEnd w:id="5"/>
      <w:r>
        <w:rPr>
          <w:rFonts w:ascii="Times New Roman" w:hAnsi="Times New Roman" w:cs="Times New Roman"/>
          <w:color w:val="000000"/>
        </w:rPr>
        <w:t xml:space="preserve"> </w:t>
      </w:r>
      <w:r w:rsidRPr="008319BB">
        <w:rPr>
          <w:rFonts w:ascii="Times New Roman" w:hAnsi="Times New Roman" w:cs="Times New Roman"/>
          <w:color w:val="000000"/>
        </w:rPr>
        <w:t xml:space="preserve"> </w:t>
      </w:r>
    </w:p>
    <w:p w14:paraId="2BBAA10B" w14:textId="77777777" w:rsidR="000B2C8D" w:rsidRPr="008319BB" w:rsidRDefault="000B2C8D" w:rsidP="000B2C8D">
      <w:pPr>
        <w:pStyle w:val="ListParagraph"/>
        <w:numPr>
          <w:ilvl w:val="0"/>
          <w:numId w:val="29"/>
        </w:numPr>
        <w:spacing w:after="0" w:line="240" w:lineRule="auto"/>
        <w:textAlignment w:val="baseline"/>
        <w:rPr>
          <w:rFonts w:ascii="Times New Roman" w:hAnsi="Times New Roman" w:cs="Times New Roman"/>
          <w:color w:val="000000" w:themeColor="text1"/>
        </w:rPr>
      </w:pPr>
      <w:r>
        <w:rPr>
          <w:rFonts w:ascii="Times New Roman" w:hAnsi="Times New Roman" w:cs="Times New Roman"/>
          <w:color w:val="000000"/>
        </w:rPr>
        <w:t>N</w:t>
      </w:r>
      <w:r w:rsidRPr="008319BB">
        <w:rPr>
          <w:rFonts w:ascii="Times New Roman" w:hAnsi="Times New Roman" w:cs="Times New Roman"/>
          <w:color w:val="000000"/>
        </w:rPr>
        <w:t>early 1 in 4 transgender and gender-nonconforming students are sexually assaulted during college.</w:t>
      </w:r>
      <w:r w:rsidRPr="1627AC4F">
        <w:rPr>
          <w:rStyle w:val="FootnoteReference"/>
          <w:rFonts w:eastAsia="Times New Roman" w:cs="Times New Roman"/>
          <w:color w:val="000000"/>
        </w:rPr>
        <w:footnoteReference w:id="8"/>
      </w:r>
      <w:r w:rsidRPr="008319BB">
        <w:rPr>
          <w:rFonts w:ascii="Times New Roman" w:hAnsi="Times New Roman" w:cs="Times New Roman"/>
          <w:color w:val="000000"/>
        </w:rPr>
        <w:t xml:space="preserve"> </w:t>
      </w:r>
    </w:p>
    <w:p w14:paraId="31C0FEB6" w14:textId="77777777" w:rsidR="000B2C8D" w:rsidRPr="008319BB" w:rsidRDefault="000B2C8D" w:rsidP="000B2C8D">
      <w:pPr>
        <w:pStyle w:val="ListParagraph"/>
        <w:numPr>
          <w:ilvl w:val="0"/>
          <w:numId w:val="29"/>
        </w:numPr>
        <w:spacing w:after="0" w:line="240" w:lineRule="auto"/>
        <w:textAlignment w:val="baseline"/>
        <w:rPr>
          <w:rFonts w:ascii="Times New Roman" w:hAnsi="Times New Roman" w:cs="Times New Roman"/>
          <w:color w:val="000000" w:themeColor="text1"/>
        </w:rPr>
      </w:pPr>
      <w:r w:rsidRPr="008319BB">
        <w:rPr>
          <w:rFonts w:ascii="Times New Roman" w:hAnsi="Times New Roman" w:cs="Times New Roman"/>
          <w:color w:val="000000"/>
        </w:rPr>
        <w:t>Students with disabilities are 2.9 times more likely than their peers to be sexually assaulted.</w:t>
      </w:r>
      <w:bookmarkStart w:id="6" w:name="_Ref532941816"/>
      <w:r w:rsidRPr="1627AC4F">
        <w:rPr>
          <w:rStyle w:val="FootnoteReference"/>
          <w:rFonts w:eastAsia="Times New Roman" w:cs="Times New Roman"/>
          <w:color w:val="000000"/>
        </w:rPr>
        <w:footnoteReference w:id="9"/>
      </w:r>
      <w:bookmarkEnd w:id="6"/>
      <w:r w:rsidRPr="008319BB">
        <w:rPr>
          <w:rFonts w:ascii="Times New Roman" w:hAnsi="Times New Roman" w:cs="Times New Roman"/>
          <w:color w:val="000000"/>
        </w:rPr>
        <w:t xml:space="preserve"> </w:t>
      </w:r>
    </w:p>
    <w:p w14:paraId="778F6629" w14:textId="77777777" w:rsidR="000B2C8D" w:rsidRPr="008319BB" w:rsidRDefault="000B2C8D" w:rsidP="000B2C8D">
      <w:pPr>
        <w:spacing w:after="0" w:line="240" w:lineRule="auto"/>
        <w:ind w:firstLine="360"/>
        <w:textAlignment w:val="baseline"/>
        <w:rPr>
          <w:rFonts w:ascii="Times New Roman" w:eastAsia="Times New Roman" w:hAnsi="Times New Roman" w:cs="Times New Roman"/>
          <w:color w:val="000000" w:themeColor="text1"/>
        </w:rPr>
      </w:pPr>
      <w:r w:rsidRPr="008319BB">
        <w:rPr>
          <w:rFonts w:ascii="Times New Roman" w:eastAsia="Times New Roman" w:hAnsi="Times New Roman" w:cs="Times New Roman"/>
          <w:color w:val="000000"/>
        </w:rPr>
        <w:t>Sexual harassment occurs both on-campus and in off-campus spaces closely associated with school:</w:t>
      </w:r>
    </w:p>
    <w:p w14:paraId="534F30D9" w14:textId="77777777" w:rsidR="000B2C8D" w:rsidRPr="008319BB" w:rsidRDefault="000B2C8D" w:rsidP="000B2C8D">
      <w:pPr>
        <w:pStyle w:val="ListParagraph"/>
        <w:numPr>
          <w:ilvl w:val="0"/>
          <w:numId w:val="30"/>
        </w:numPr>
        <w:spacing w:after="0" w:line="240" w:lineRule="auto"/>
        <w:textAlignment w:val="baseline"/>
        <w:rPr>
          <w:rFonts w:ascii="Times New Roman" w:eastAsia="Times New Roman" w:hAnsi="Times New Roman" w:cs="Times New Roman"/>
          <w:color w:val="000000" w:themeColor="text1"/>
        </w:rPr>
      </w:pPr>
      <w:r w:rsidRPr="008319BB">
        <w:rPr>
          <w:rFonts w:ascii="Times New Roman" w:eastAsia="Times New Roman" w:hAnsi="Times New Roman" w:cs="Times New Roman"/>
          <w:color w:val="000000"/>
        </w:rPr>
        <w:t>Nearly 9 in 10 college students live off campus.</w:t>
      </w:r>
      <w:bookmarkStart w:id="7" w:name="_Ref533076090"/>
      <w:r w:rsidRPr="1627AC4F">
        <w:rPr>
          <w:rStyle w:val="FootnoteReference"/>
          <w:rFonts w:eastAsia="Times New Roman" w:cs="Times New Roman"/>
          <w:color w:val="000000"/>
        </w:rPr>
        <w:footnoteReference w:id="10"/>
      </w:r>
      <w:bookmarkEnd w:id="7"/>
      <w:r w:rsidRPr="008319BB">
        <w:rPr>
          <w:rFonts w:ascii="Times New Roman" w:eastAsia="Times New Roman" w:hAnsi="Times New Roman" w:cs="Times New Roman"/>
          <w:color w:val="000000"/>
        </w:rPr>
        <w:t xml:space="preserve"> </w:t>
      </w:r>
    </w:p>
    <w:p w14:paraId="2011DBB6" w14:textId="77777777" w:rsidR="000B2C8D" w:rsidRPr="008319BB" w:rsidRDefault="000B2C8D" w:rsidP="000B2C8D">
      <w:pPr>
        <w:pStyle w:val="ListParagraph"/>
        <w:numPr>
          <w:ilvl w:val="0"/>
          <w:numId w:val="30"/>
        </w:numPr>
        <w:spacing w:after="0" w:line="240" w:lineRule="auto"/>
        <w:textAlignment w:val="baseline"/>
        <w:rPr>
          <w:rFonts w:ascii="Times New Roman" w:eastAsia="Times New Roman" w:hAnsi="Times New Roman" w:cs="Times New Roman"/>
          <w:color w:val="000000" w:themeColor="text1"/>
        </w:rPr>
      </w:pPr>
      <w:r w:rsidRPr="008319BB">
        <w:rPr>
          <w:rFonts w:ascii="Times New Roman" w:eastAsia="Times New Roman" w:hAnsi="Times New Roman" w:cs="Times New Roman"/>
          <w:color w:val="000000"/>
        </w:rPr>
        <w:t>41% of college sexual assaults involve off-campus parties.</w:t>
      </w:r>
      <w:r w:rsidRPr="1627AC4F">
        <w:rPr>
          <w:rStyle w:val="FootnoteReference"/>
          <w:rFonts w:cs="Times New Roman"/>
        </w:rPr>
        <w:footnoteReference w:id="11"/>
      </w:r>
      <w:r w:rsidRPr="008319BB">
        <w:rPr>
          <w:rFonts w:ascii="Times New Roman" w:eastAsia="Times New Roman" w:hAnsi="Times New Roman" w:cs="Times New Roman"/>
          <w:color w:val="000000"/>
        </w:rPr>
        <w:t xml:space="preserve"> Students are far more likely to experience sexual assault if they are in a sorority (nearly 1.5x more likely) or fraternity (nearly 3x more likely).</w:t>
      </w:r>
      <w:bookmarkStart w:id="8" w:name="_Ref533076196"/>
      <w:r w:rsidRPr="1627AC4F">
        <w:rPr>
          <w:rStyle w:val="FootnoteReference"/>
          <w:rFonts w:eastAsia="Times New Roman" w:cs="Times New Roman"/>
          <w:color w:val="000000"/>
        </w:rPr>
        <w:footnoteReference w:id="12"/>
      </w:r>
      <w:bookmarkEnd w:id="8"/>
    </w:p>
    <w:p w14:paraId="682697A7" w14:textId="77777777" w:rsidR="000B2C8D" w:rsidRPr="008319BB" w:rsidRDefault="000B2C8D" w:rsidP="000B2C8D">
      <w:pPr>
        <w:pStyle w:val="ListParagraph"/>
        <w:numPr>
          <w:ilvl w:val="0"/>
          <w:numId w:val="30"/>
        </w:numPr>
        <w:spacing w:after="0" w:line="240" w:lineRule="auto"/>
        <w:textAlignment w:val="baseline"/>
        <w:rPr>
          <w:rFonts w:ascii="Times New Roman" w:eastAsia="Times New Roman" w:hAnsi="Times New Roman" w:cs="Times New Roman"/>
          <w:color w:val="000000" w:themeColor="text1"/>
        </w:rPr>
      </w:pPr>
      <w:r w:rsidRPr="008319BB">
        <w:rPr>
          <w:rFonts w:ascii="Times New Roman" w:eastAsia="Times New Roman" w:hAnsi="Times New Roman" w:cs="Times New Roman"/>
          <w:color w:val="000000"/>
        </w:rPr>
        <w:t xml:space="preserve">Only 8% of </w:t>
      </w:r>
      <w:r>
        <w:rPr>
          <w:rFonts w:ascii="Times New Roman" w:eastAsia="Times New Roman" w:hAnsi="Times New Roman" w:cs="Times New Roman"/>
          <w:color w:val="000000"/>
        </w:rPr>
        <w:t xml:space="preserve">all </w:t>
      </w:r>
      <w:r w:rsidRPr="008319BB">
        <w:rPr>
          <w:rFonts w:ascii="Times New Roman" w:eastAsia="Times New Roman" w:hAnsi="Times New Roman" w:cs="Times New Roman"/>
          <w:color w:val="000000"/>
        </w:rPr>
        <w:t>sexual assaults occur on school property.</w:t>
      </w:r>
      <w:r w:rsidRPr="1627AC4F">
        <w:rPr>
          <w:rStyle w:val="FootnoteReference"/>
          <w:rFonts w:eastAsia="Times New Roman" w:cs="Times New Roman"/>
          <w:color w:val="000000"/>
        </w:rPr>
        <w:footnoteReference w:id="13"/>
      </w:r>
      <w:r w:rsidRPr="008319BB">
        <w:rPr>
          <w:rFonts w:ascii="Times New Roman" w:eastAsia="Times New Roman" w:hAnsi="Times New Roman" w:cs="Times New Roman"/>
          <w:color w:val="000000"/>
        </w:rPr>
        <w:t xml:space="preserve"> </w:t>
      </w:r>
    </w:p>
    <w:p w14:paraId="2B94C6E6" w14:textId="77777777" w:rsidR="000B2C8D" w:rsidRPr="008319BB" w:rsidRDefault="000B2C8D" w:rsidP="000B2C8D">
      <w:pPr>
        <w:spacing w:after="0" w:line="240" w:lineRule="auto"/>
        <w:ind w:left="360"/>
        <w:textAlignment w:val="baseline"/>
        <w:rPr>
          <w:rFonts w:ascii="Times New Roman" w:hAnsi="Times New Roman" w:cs="Times New Roman"/>
          <w:color w:val="000000" w:themeColor="text1"/>
        </w:rPr>
      </w:pPr>
    </w:p>
    <w:p w14:paraId="059F283F" w14:textId="77777777" w:rsidR="000B2C8D" w:rsidRPr="008319BB" w:rsidRDefault="000B2C8D" w:rsidP="000B2C8D">
      <w:pPr>
        <w:pStyle w:val="ListParagraph"/>
        <w:numPr>
          <w:ilvl w:val="0"/>
          <w:numId w:val="21"/>
        </w:numPr>
        <w:textAlignment w:val="baseline"/>
        <w:rPr>
          <w:rFonts w:ascii="Times New Roman" w:eastAsia="Times New Roman" w:hAnsi="Times New Roman" w:cs="Times New Roman"/>
          <w:b/>
          <w:bCs/>
          <w:color w:val="000000" w:themeColor="text1"/>
        </w:rPr>
      </w:pPr>
      <w:r w:rsidRPr="008319BB">
        <w:rPr>
          <w:rFonts w:ascii="Times New Roman" w:eastAsia="Times New Roman" w:hAnsi="Times New Roman" w:cs="Times New Roman"/>
          <w:b/>
          <w:bCs/>
          <w:color w:val="000000"/>
        </w:rPr>
        <w:t xml:space="preserve">Survivors generally underreport instances of sexual harassment and assault. </w:t>
      </w:r>
    </w:p>
    <w:p w14:paraId="45D79F53" w14:textId="77777777" w:rsidR="000B2C8D" w:rsidRPr="00F635AE" w:rsidRDefault="000B2C8D" w:rsidP="000B2C8D">
      <w:pPr>
        <w:ind w:firstLine="720"/>
        <w:rPr>
          <w:rFonts w:ascii="Times New Roman" w:eastAsia="Times New Roman" w:hAnsi="Times New Roman" w:cs="Times New Roman"/>
          <w:b/>
          <w:bCs/>
          <w:color w:val="000000" w:themeColor="text1"/>
        </w:rPr>
      </w:pPr>
      <w:r w:rsidRPr="008319BB">
        <w:rPr>
          <w:rFonts w:ascii="Times New Roman" w:hAnsi="Times New Roman" w:cs="Times New Roman"/>
        </w:rPr>
        <w:t xml:space="preserve">Reporting sexual harassment is </w:t>
      </w:r>
      <w:r>
        <w:rPr>
          <w:rFonts w:ascii="Times New Roman" w:hAnsi="Times New Roman" w:cs="Times New Roman"/>
        </w:rPr>
        <w:t>always</w:t>
      </w:r>
      <w:r w:rsidRPr="008319BB">
        <w:rPr>
          <w:rFonts w:ascii="Times New Roman" w:hAnsi="Times New Roman" w:cs="Times New Roman"/>
        </w:rPr>
        <w:t xml:space="preserve"> hard</w:t>
      </w:r>
      <w:r>
        <w:rPr>
          <w:rFonts w:ascii="Times New Roman" w:hAnsi="Times New Roman" w:cs="Times New Roman"/>
        </w:rPr>
        <w:t xml:space="preserve">, and </w:t>
      </w:r>
      <w:r w:rsidRPr="008319BB">
        <w:rPr>
          <w:rFonts w:ascii="Times New Roman" w:hAnsi="Times New Roman" w:cs="Times New Roman"/>
        </w:rPr>
        <w:t xml:space="preserve">the proposed rules would further discourage students from coming forward to ask their schools for help. </w:t>
      </w:r>
      <w:r>
        <w:rPr>
          <w:rFonts w:ascii="Times New Roman" w:hAnsi="Times New Roman" w:cs="Times New Roman"/>
        </w:rPr>
        <w:t>Already, o</w:t>
      </w:r>
      <w:r w:rsidRPr="008319BB">
        <w:rPr>
          <w:rFonts w:ascii="Times New Roman" w:hAnsi="Times New Roman" w:cs="Times New Roman"/>
        </w:rPr>
        <w:t>nly 12% of college survivors</w:t>
      </w:r>
      <w:r w:rsidRPr="008319BB">
        <w:rPr>
          <w:rFonts w:ascii="Times New Roman" w:hAnsi="Times New Roman" w:cs="Times New Roman"/>
          <w:vertAlign w:val="superscript"/>
        </w:rPr>
        <w:footnoteReference w:id="14"/>
      </w:r>
      <w:r w:rsidRPr="008319BB">
        <w:rPr>
          <w:rFonts w:ascii="Times New Roman" w:hAnsi="Times New Roman" w:cs="Times New Roman"/>
        </w:rPr>
        <w:t xml:space="preserve"> and 2% of girls ages 14-18</w:t>
      </w:r>
      <w:bookmarkStart w:id="9" w:name="_Ref529148795"/>
      <w:r w:rsidRPr="1627AC4F">
        <w:rPr>
          <w:rStyle w:val="FootnoteReference"/>
          <w:rFonts w:cs="Times New Roman"/>
        </w:rPr>
        <w:footnoteReference w:id="15"/>
      </w:r>
      <w:bookmarkEnd w:id="9"/>
      <w:r w:rsidRPr="008319BB">
        <w:rPr>
          <w:rFonts w:ascii="Times New Roman" w:hAnsi="Times New Roman" w:cs="Times New Roman"/>
        </w:rPr>
        <w:t xml:space="preserve"> report sexual assault to their schools or the police.</w:t>
      </w:r>
      <w:r w:rsidRPr="008319BB">
        <w:rPr>
          <w:rFonts w:ascii="Times New Roman" w:eastAsia="Times New Roman" w:hAnsi="Times New Roman" w:cs="Times New Roman"/>
          <w:color w:val="000000"/>
        </w:rPr>
        <w:t xml:space="preserve"> </w:t>
      </w:r>
      <w:r w:rsidRPr="008319BB">
        <w:rPr>
          <w:rFonts w:ascii="Times New Roman" w:hAnsi="Times New Roman" w:cs="Times New Roman"/>
        </w:rPr>
        <w:t xml:space="preserve">Students often choose not to report for fear of reprisal, because they believe their abuse was not important enough, or because they think the </w:t>
      </w:r>
      <w:r>
        <w:rPr>
          <w:rFonts w:ascii="Times New Roman" w:hAnsi="Times New Roman" w:cs="Times New Roman"/>
        </w:rPr>
        <w:t>no one would</w:t>
      </w:r>
      <w:r w:rsidRPr="008319BB">
        <w:rPr>
          <w:rFonts w:ascii="Times New Roman" w:hAnsi="Times New Roman" w:cs="Times New Roman"/>
        </w:rPr>
        <w:t xml:space="preserve"> do anything to help.</w:t>
      </w:r>
      <w:r w:rsidRPr="1627AC4F">
        <w:rPr>
          <w:rStyle w:val="FootnoteReference"/>
          <w:rFonts w:cs="Times New Roman"/>
        </w:rPr>
        <w:footnoteReference w:id="16"/>
      </w:r>
      <w:r w:rsidRPr="008319BB">
        <w:rPr>
          <w:rFonts w:ascii="Times New Roman" w:eastAsia="Times New Roman" w:hAnsi="Times New Roman" w:cs="Times New Roman"/>
          <w:b/>
          <w:bCs/>
          <w:color w:val="000000"/>
        </w:rPr>
        <w:t xml:space="preserve"> </w:t>
      </w:r>
      <w:r w:rsidRPr="008319BB">
        <w:rPr>
          <w:rFonts w:ascii="Times New Roman" w:hAnsi="Times New Roman" w:cs="Times New Roman"/>
        </w:rPr>
        <w:t>Some students—especially students of color, undocumented students,</w:t>
      </w:r>
      <w:r w:rsidRPr="1627AC4F">
        <w:rPr>
          <w:rStyle w:val="FootnoteReference"/>
          <w:rFonts w:cs="Times New Roman"/>
        </w:rPr>
        <w:footnoteReference w:id="17"/>
      </w:r>
      <w:r w:rsidRPr="008319BB">
        <w:rPr>
          <w:rFonts w:ascii="Times New Roman" w:hAnsi="Times New Roman" w:cs="Times New Roman"/>
        </w:rPr>
        <w:t xml:space="preserve"> LGBTQ students,</w:t>
      </w:r>
      <w:bookmarkStart w:id="10" w:name="_Ref533077344"/>
      <w:r w:rsidRPr="1627AC4F">
        <w:rPr>
          <w:rStyle w:val="FootnoteReference"/>
          <w:rFonts w:eastAsia="Times New Roman" w:cs="Times New Roman"/>
          <w:color w:val="000000"/>
        </w:rPr>
        <w:footnoteReference w:id="18"/>
      </w:r>
      <w:bookmarkEnd w:id="10"/>
      <w:r w:rsidRPr="008319BB">
        <w:rPr>
          <w:rFonts w:ascii="Times New Roman" w:hAnsi="Times New Roman" w:cs="Times New Roman"/>
        </w:rPr>
        <w:t xml:space="preserve"> and students with disabilities—are less likely than their peers to report sexu</w:t>
      </w:r>
      <w:r w:rsidRPr="009410E1">
        <w:rPr>
          <w:rFonts w:ascii="Times New Roman" w:eastAsia="Times" w:hAnsi="Times New Roman" w:cs="Times New Roman"/>
        </w:rPr>
        <w:t>al assault to the police due to increased risk of being subjected to police violence and/or deportation. Survivors of color may not want to report</w:t>
      </w:r>
      <w:r>
        <w:rPr>
          <w:rFonts w:ascii="Times New Roman" w:eastAsia="Times" w:hAnsi="Times New Roman" w:cs="Times New Roman"/>
        </w:rPr>
        <w:t xml:space="preserve"> to the police</w:t>
      </w:r>
      <w:r w:rsidRPr="009410E1">
        <w:rPr>
          <w:rFonts w:ascii="Times New Roman" w:eastAsia="Times" w:hAnsi="Times New Roman" w:cs="Times New Roman"/>
        </w:rPr>
        <w:t xml:space="preserve"> and add to the criminalization of men and boys of color. </w:t>
      </w:r>
      <w:r w:rsidRPr="008319BB">
        <w:rPr>
          <w:rFonts w:ascii="Times New Roman" w:hAnsi="Times New Roman" w:cs="Times New Roman"/>
        </w:rPr>
        <w:t xml:space="preserve">For these students, schools are often the only avenue for relief. </w:t>
      </w:r>
    </w:p>
    <w:p w14:paraId="7C0813F5" w14:textId="77777777" w:rsidR="000B2C8D" w:rsidRPr="008319BB" w:rsidRDefault="000B2C8D" w:rsidP="000B2C8D">
      <w:pPr>
        <w:spacing w:after="0" w:line="240" w:lineRule="auto"/>
        <w:ind w:firstLine="360"/>
        <w:textAlignment w:val="baseline"/>
        <w:rPr>
          <w:rFonts w:ascii="Times New Roman" w:eastAsia="Times New Roman" w:hAnsi="Times New Roman" w:cs="Times New Roman"/>
          <w:color w:val="000000" w:themeColor="text1"/>
        </w:rPr>
      </w:pPr>
      <w:r w:rsidRPr="008319BB">
        <w:rPr>
          <w:rFonts w:ascii="Times New Roman" w:eastAsia="Times New Roman" w:hAnsi="Times New Roman" w:cs="Times New Roman"/>
          <w:color w:val="000000"/>
        </w:rPr>
        <w:tab/>
      </w:r>
      <w:r>
        <w:rPr>
          <w:rFonts w:ascii="Times New Roman" w:eastAsia="Times New Roman" w:hAnsi="Times New Roman" w:cs="Times New Roman"/>
          <w:color w:val="000000"/>
        </w:rPr>
        <w:t>When schools fail to provide effective responses, t</w:t>
      </w:r>
      <w:r w:rsidRPr="008319BB">
        <w:rPr>
          <w:rFonts w:ascii="Times New Roman" w:eastAsia="Times New Roman" w:hAnsi="Times New Roman" w:cs="Times New Roman"/>
          <w:color w:val="000000"/>
        </w:rPr>
        <w:t>he impact of sexual harassment can be devastating.</w:t>
      </w:r>
      <w:r w:rsidRPr="1627AC4F">
        <w:rPr>
          <w:rStyle w:val="FootnoteReference"/>
          <w:rFonts w:eastAsia="Times New Roman" w:cs="Times New Roman"/>
          <w:color w:val="000000"/>
        </w:rPr>
        <w:footnoteReference w:id="19"/>
      </w:r>
      <w:r w:rsidRPr="008319BB">
        <w:rPr>
          <w:rFonts w:ascii="Times New Roman" w:eastAsia="Times New Roman" w:hAnsi="Times New Roman" w:cs="Times New Roman"/>
          <w:color w:val="000000"/>
        </w:rPr>
        <w:t xml:space="preserve"> </w:t>
      </w:r>
      <w:r w:rsidRPr="008319BB">
        <w:rPr>
          <w:rFonts w:ascii="Times New Roman" w:hAnsi="Times New Roman" w:cs="Times New Roman"/>
        </w:rPr>
        <w:t>Too many survivors end up dropping out of school because they do not feel safe on campus; some are even expelled for lower grades in the wake of their trauma</w:t>
      </w:r>
      <w:r w:rsidRPr="009410E1">
        <w:rPr>
          <w:rFonts w:ascii="Times New Roman" w:hAnsi="Times New Roman" w:cs="Times New Roman"/>
        </w:rPr>
        <w:t>.</w:t>
      </w:r>
      <w:r w:rsidRPr="1627AC4F">
        <w:rPr>
          <w:rStyle w:val="FootnoteReference"/>
          <w:rFonts w:cs="Times New Roman"/>
        </w:rPr>
        <w:footnoteReference w:id="20"/>
      </w:r>
      <w:r w:rsidRPr="009410E1">
        <w:rPr>
          <w:rFonts w:ascii="Times New Roman" w:hAnsi="Times New Roman" w:cs="Times New Roman"/>
        </w:rPr>
        <w:t xml:space="preserve"> </w:t>
      </w:r>
      <w:r w:rsidRPr="008319BB">
        <w:rPr>
          <w:rFonts w:ascii="Times New Roman" w:hAnsi="Times New Roman" w:cs="Times New Roman"/>
        </w:rPr>
        <w:t>For example, 34% of college survivors drop out of college.</w:t>
      </w:r>
      <w:r w:rsidRPr="1627AC4F">
        <w:rPr>
          <w:rStyle w:val="FootnoteReference"/>
          <w:rFonts w:cs="Times New Roman"/>
        </w:rPr>
        <w:footnoteReference w:id="21"/>
      </w:r>
      <w:r>
        <w:rPr>
          <w:rFonts w:ascii="Times New Roman" w:hAnsi="Times New Roman" w:cs="Times New Roman"/>
        </w:rPr>
        <w:t xml:space="preserve"> </w:t>
      </w:r>
    </w:p>
    <w:p w14:paraId="5CF291EB" w14:textId="77777777" w:rsidR="000B2C8D" w:rsidRPr="008319BB" w:rsidRDefault="000B2C8D" w:rsidP="000B2C8D">
      <w:pPr>
        <w:spacing w:after="0"/>
        <w:rPr>
          <w:rFonts w:ascii="Times New Roman" w:hAnsi="Times New Roman" w:cs="Times New Roman"/>
          <w:b/>
          <w:u w:val="single"/>
        </w:rPr>
      </w:pPr>
      <w:r w:rsidRPr="008319BB">
        <w:rPr>
          <w:rFonts w:ascii="Times New Roman" w:eastAsia="Times New Roman" w:hAnsi="Times New Roman" w:cs="Times New Roman"/>
          <w:color w:val="000000"/>
        </w:rPr>
        <w:tab/>
      </w:r>
    </w:p>
    <w:p w14:paraId="60D4BE35" w14:textId="77777777" w:rsidR="000B2C8D" w:rsidRPr="008319BB" w:rsidRDefault="000B2C8D" w:rsidP="000B2C8D">
      <w:pPr>
        <w:pStyle w:val="ListParagraph"/>
        <w:numPr>
          <w:ilvl w:val="0"/>
          <w:numId w:val="27"/>
        </w:numPr>
        <w:spacing w:after="0"/>
        <w:rPr>
          <w:rFonts w:ascii="Times New Roman" w:hAnsi="Times New Roman" w:cs="Times New Roman"/>
          <w:b/>
          <w:bCs/>
          <w:u w:val="single"/>
        </w:rPr>
      </w:pPr>
      <w:r w:rsidRPr="1627AC4F">
        <w:rPr>
          <w:rFonts w:ascii="Times New Roman" w:hAnsi="Times New Roman" w:cs="Times New Roman"/>
          <w:b/>
          <w:bCs/>
          <w:u w:val="single"/>
        </w:rPr>
        <w:t xml:space="preserve">The proposed rules </w:t>
      </w:r>
      <w:r>
        <w:rPr>
          <w:rFonts w:ascii="Times New Roman" w:hAnsi="Times New Roman" w:cs="Times New Roman"/>
          <w:b/>
          <w:bCs/>
          <w:u w:val="single"/>
        </w:rPr>
        <w:t xml:space="preserve">would hobble Title IX </w:t>
      </w:r>
      <w:r w:rsidRPr="1627AC4F">
        <w:rPr>
          <w:rFonts w:ascii="Times New Roman" w:hAnsi="Times New Roman" w:cs="Times New Roman"/>
          <w:b/>
          <w:bCs/>
          <w:u w:val="single"/>
        </w:rPr>
        <w:t xml:space="preserve">enforcement, discourage reporting of sexual harassment, and prioritize </w:t>
      </w:r>
      <w:r>
        <w:rPr>
          <w:rFonts w:ascii="Times New Roman" w:hAnsi="Times New Roman" w:cs="Times New Roman"/>
          <w:b/>
          <w:bCs/>
          <w:u w:val="single"/>
        </w:rPr>
        <w:t>protecting</w:t>
      </w:r>
      <w:r w:rsidRPr="1627AC4F">
        <w:rPr>
          <w:rFonts w:ascii="Times New Roman" w:hAnsi="Times New Roman" w:cs="Times New Roman"/>
          <w:b/>
          <w:bCs/>
          <w:u w:val="single"/>
        </w:rPr>
        <w:t xml:space="preserve"> school</w:t>
      </w:r>
      <w:r>
        <w:rPr>
          <w:rFonts w:ascii="Times New Roman" w:hAnsi="Times New Roman" w:cs="Times New Roman"/>
          <w:b/>
          <w:bCs/>
          <w:u w:val="single"/>
        </w:rPr>
        <w:t>s</w:t>
      </w:r>
      <w:r w:rsidRPr="1627AC4F">
        <w:rPr>
          <w:rFonts w:ascii="Times New Roman" w:hAnsi="Times New Roman" w:cs="Times New Roman"/>
          <w:b/>
          <w:bCs/>
          <w:u w:val="single"/>
        </w:rPr>
        <w:t xml:space="preserve"> </w:t>
      </w:r>
      <w:r>
        <w:rPr>
          <w:rFonts w:ascii="Times New Roman" w:hAnsi="Times New Roman" w:cs="Times New Roman"/>
          <w:b/>
          <w:bCs/>
          <w:u w:val="single"/>
        </w:rPr>
        <w:t>over protecting</w:t>
      </w:r>
      <w:r w:rsidRPr="1627AC4F">
        <w:rPr>
          <w:rFonts w:ascii="Times New Roman" w:hAnsi="Times New Roman" w:cs="Times New Roman"/>
          <w:b/>
          <w:bCs/>
          <w:u w:val="single"/>
        </w:rPr>
        <w:t xml:space="preserve"> survivors.</w:t>
      </w:r>
    </w:p>
    <w:p w14:paraId="5C91EF4A" w14:textId="77777777" w:rsidR="000B2C8D" w:rsidRPr="008319BB" w:rsidRDefault="000B2C8D" w:rsidP="000B2C8D">
      <w:pPr>
        <w:spacing w:after="0"/>
        <w:rPr>
          <w:rFonts w:ascii="Times New Roman" w:hAnsi="Times New Roman" w:cs="Times New Roman"/>
          <w:b/>
          <w:u w:val="single"/>
        </w:rPr>
      </w:pPr>
    </w:p>
    <w:p w14:paraId="6595C345" w14:textId="77777777" w:rsidR="000B2C8D" w:rsidRDefault="000B2C8D" w:rsidP="000B2C8D">
      <w:pPr>
        <w:spacing w:after="0"/>
        <w:ind w:firstLine="720"/>
        <w:rPr>
          <w:rFonts w:ascii="Times New Roman" w:hAnsi="Times New Roman" w:cs="Times New Roman"/>
        </w:rPr>
      </w:pPr>
      <w:r w:rsidRPr="008319BB">
        <w:rPr>
          <w:rFonts w:ascii="Times New Roman" w:hAnsi="Times New Roman" w:cs="Times New Roman"/>
        </w:rPr>
        <w:t>For the better part of two decades, the Department</w:t>
      </w:r>
      <w:r w:rsidRPr="008319BB" w:rsidDel="004561D2">
        <w:rPr>
          <w:rFonts w:ascii="Times New Roman" w:hAnsi="Times New Roman" w:cs="Times New Roman"/>
        </w:rPr>
        <w:t xml:space="preserve"> </w:t>
      </w:r>
      <w:r w:rsidRPr="008319BB">
        <w:rPr>
          <w:rFonts w:ascii="Times New Roman" w:hAnsi="Times New Roman" w:cs="Times New Roman"/>
        </w:rPr>
        <w:t xml:space="preserve">has used </w:t>
      </w:r>
      <w:r>
        <w:rPr>
          <w:rFonts w:ascii="Times New Roman" w:hAnsi="Times New Roman" w:cs="Times New Roman"/>
        </w:rPr>
        <w:t>one consistent</w:t>
      </w:r>
      <w:r w:rsidRPr="008319BB">
        <w:rPr>
          <w:rFonts w:ascii="Times New Roman" w:hAnsi="Times New Roman" w:cs="Times New Roman"/>
        </w:rPr>
        <w:t xml:space="preserve"> standard to determine if a school violated Title IX by failing to adequately </w:t>
      </w:r>
      <w:r>
        <w:rPr>
          <w:rFonts w:ascii="Times New Roman" w:hAnsi="Times New Roman" w:cs="Times New Roman"/>
        </w:rPr>
        <w:t>address</w:t>
      </w:r>
      <w:r w:rsidRPr="008319BB">
        <w:rPr>
          <w:rFonts w:ascii="Times New Roman" w:hAnsi="Times New Roman" w:cs="Times New Roman"/>
        </w:rPr>
        <w:t xml:space="preserve"> sexual harassment and assault. </w:t>
      </w:r>
      <w:r>
        <w:rPr>
          <w:rFonts w:ascii="Times New Roman" w:hAnsi="Times New Roman" w:cs="Times New Roman"/>
        </w:rPr>
        <w:t>The Department</w:t>
      </w:r>
      <w:r w:rsidRPr="008319BB">
        <w:rPr>
          <w:rFonts w:ascii="Times New Roman" w:hAnsi="Times New Roman" w:cs="Times New Roman"/>
        </w:rPr>
        <w:t>’s 2001 Guidance, which went through public notice-and-comment and has been enforced in both Democratic and Republican administrations,</w:t>
      </w:r>
      <w:bookmarkStart w:id="11" w:name="_Ref533075961"/>
      <w:r w:rsidRPr="1627AC4F">
        <w:rPr>
          <w:rStyle w:val="FootnoteReference"/>
          <w:rFonts w:cs="Times New Roman"/>
        </w:rPr>
        <w:footnoteReference w:id="22"/>
      </w:r>
      <w:bookmarkEnd w:id="11"/>
      <w:r w:rsidRPr="008319BB">
        <w:rPr>
          <w:rFonts w:ascii="Times New Roman" w:hAnsi="Times New Roman" w:cs="Times New Roman"/>
        </w:rPr>
        <w:t xml:space="preserve"> defines sexual harassment as “unwelcome conduct of a sexual nature.”</w:t>
      </w:r>
      <w:bookmarkStart w:id="12" w:name="_Ref532941901"/>
      <w:r w:rsidRPr="1627AC4F">
        <w:rPr>
          <w:rStyle w:val="FootnoteReference"/>
          <w:rFonts w:cs="Times New Roman"/>
        </w:rPr>
        <w:footnoteReference w:id="23"/>
      </w:r>
      <w:bookmarkEnd w:id="12"/>
      <w:r w:rsidRPr="008319BB">
        <w:rPr>
          <w:rFonts w:ascii="Times New Roman" w:hAnsi="Times New Roman" w:cs="Times New Roman"/>
        </w:rPr>
        <w:t xml:space="preserve"> The 2001 Guidance requires schools to address student-on-student harassment if </w:t>
      </w:r>
      <w:r w:rsidRPr="1627AC4F">
        <w:rPr>
          <w:rFonts w:ascii="Times New Roman" w:hAnsi="Times New Roman" w:cs="Times New Roman"/>
          <w:i/>
          <w:iCs/>
        </w:rPr>
        <w:t>any employee</w:t>
      </w:r>
      <w:r w:rsidRPr="008319BB">
        <w:rPr>
          <w:rFonts w:ascii="Times New Roman" w:hAnsi="Times New Roman" w:cs="Times New Roman"/>
        </w:rPr>
        <w:t xml:space="preserve"> “knew, or in the exercise of reasonable care should have known” about the harassment. In the context of employee-on-student harassment, the Guidance requires schools to address harassment “whether or not the [school] has ‘notice’ of the harassment.”</w:t>
      </w:r>
      <w:r w:rsidRPr="1627AC4F">
        <w:rPr>
          <w:rStyle w:val="FootnoteReference"/>
          <w:rFonts w:cs="Times New Roman"/>
        </w:rPr>
        <w:footnoteReference w:id="24"/>
      </w:r>
      <w:r w:rsidRPr="008319BB">
        <w:rPr>
          <w:rFonts w:ascii="Times New Roman" w:hAnsi="Times New Roman" w:cs="Times New Roman"/>
        </w:rPr>
        <w:t xml:space="preserve"> Under the 2001 Guidance, schools that do not “take immediate and effective corrective action” would violate Title IX. These standards </w:t>
      </w:r>
      <w:r>
        <w:rPr>
          <w:rFonts w:ascii="Times New Roman" w:hAnsi="Times New Roman" w:cs="Times New Roman"/>
        </w:rPr>
        <w:t xml:space="preserve">have appropriately guided OCR’s enforcement activities, </w:t>
      </w:r>
      <w:r w:rsidRPr="008319BB">
        <w:rPr>
          <w:rFonts w:ascii="Times New Roman" w:hAnsi="Times New Roman" w:cs="Times New Roman"/>
        </w:rPr>
        <w:t>effectuat</w:t>
      </w:r>
      <w:r>
        <w:rPr>
          <w:rFonts w:ascii="Times New Roman" w:hAnsi="Times New Roman" w:cs="Times New Roman"/>
        </w:rPr>
        <w:t>ing</w:t>
      </w:r>
      <w:r w:rsidRPr="008319BB">
        <w:rPr>
          <w:rFonts w:ascii="Times New Roman" w:hAnsi="Times New Roman" w:cs="Times New Roman"/>
        </w:rPr>
        <w:t xml:space="preserve"> Title IX’s nondiscrimination mandate by requiring schools to quickly and effectively respond to serious instances of harassment</w:t>
      </w:r>
      <w:r>
        <w:rPr>
          <w:rFonts w:ascii="Times New Roman" w:hAnsi="Times New Roman" w:cs="Times New Roman"/>
        </w:rPr>
        <w:t xml:space="preserve"> and </w:t>
      </w:r>
      <w:r w:rsidRPr="008319BB">
        <w:rPr>
          <w:rFonts w:ascii="Times New Roman" w:hAnsi="Times New Roman" w:cs="Times New Roman"/>
        </w:rPr>
        <w:t>fulfill</w:t>
      </w:r>
      <w:r>
        <w:rPr>
          <w:rFonts w:ascii="Times New Roman" w:hAnsi="Times New Roman" w:cs="Times New Roman"/>
        </w:rPr>
        <w:t>ing</w:t>
      </w:r>
      <w:r w:rsidRPr="008319BB">
        <w:rPr>
          <w:rFonts w:ascii="Times New Roman" w:hAnsi="Times New Roman" w:cs="Times New Roman"/>
        </w:rPr>
        <w:t xml:space="preserve"> OCR’s purpose of ensuring equal access to education</w:t>
      </w:r>
      <w:r>
        <w:rPr>
          <w:rFonts w:ascii="Times New Roman" w:hAnsi="Times New Roman" w:cs="Times New Roman"/>
        </w:rPr>
        <w:t xml:space="preserve"> </w:t>
      </w:r>
      <w:r w:rsidRPr="008319BB">
        <w:rPr>
          <w:rFonts w:ascii="Times New Roman" w:hAnsi="Times New Roman" w:cs="Times New Roman"/>
        </w:rPr>
        <w:t xml:space="preserve">and enforcing students’ civil rights. </w:t>
      </w:r>
    </w:p>
    <w:p w14:paraId="3D7122A8" w14:textId="77777777" w:rsidR="000B2C8D" w:rsidRPr="008319BB" w:rsidRDefault="000B2C8D" w:rsidP="000B2C8D">
      <w:pPr>
        <w:spacing w:after="0"/>
        <w:ind w:firstLine="720"/>
        <w:rPr>
          <w:rFonts w:ascii="Times New Roman" w:hAnsi="Times New Roman" w:cs="Times New Roman"/>
        </w:rPr>
      </w:pPr>
    </w:p>
    <w:p w14:paraId="384B52C9" w14:textId="77777777" w:rsidR="000B2C8D" w:rsidRPr="008319BB" w:rsidRDefault="000B2C8D" w:rsidP="000B2C8D">
      <w:pPr>
        <w:spacing w:after="0"/>
        <w:ind w:firstLine="720"/>
        <w:rPr>
          <w:rFonts w:ascii="Times New Roman" w:hAnsi="Times New Roman" w:cs="Times New Roman"/>
        </w:rPr>
      </w:pPr>
      <w:r>
        <w:rPr>
          <w:rFonts w:ascii="Times New Roman" w:hAnsi="Times New Roman" w:cs="Times New Roman"/>
        </w:rPr>
        <w:t>This standard appropriately differs from</w:t>
      </w:r>
      <w:r w:rsidRPr="008319BB">
        <w:rPr>
          <w:rFonts w:ascii="Times New Roman" w:hAnsi="Times New Roman" w:cs="Times New Roman"/>
        </w:rPr>
        <w:t xml:space="preserve"> the higher bar </w:t>
      </w:r>
      <w:r>
        <w:rPr>
          <w:rFonts w:ascii="Times New Roman" w:hAnsi="Times New Roman" w:cs="Times New Roman"/>
        </w:rPr>
        <w:t>erected by the Supreme Court in the very specific and narrow context of a Title IX lawsuit seeking monetary damages against</w:t>
      </w:r>
      <w:r w:rsidRPr="008319BB">
        <w:rPr>
          <w:rFonts w:ascii="Times New Roman" w:hAnsi="Times New Roman" w:cs="Times New Roman"/>
        </w:rPr>
        <w:t xml:space="preserve"> </w:t>
      </w:r>
      <w:r>
        <w:rPr>
          <w:rFonts w:ascii="Times New Roman" w:hAnsi="Times New Roman" w:cs="Times New Roman"/>
        </w:rPr>
        <w:t xml:space="preserve">a </w:t>
      </w:r>
      <w:r w:rsidRPr="008319BB">
        <w:rPr>
          <w:rFonts w:ascii="Times New Roman" w:hAnsi="Times New Roman" w:cs="Times New Roman"/>
        </w:rPr>
        <w:t>school</w:t>
      </w:r>
      <w:r>
        <w:rPr>
          <w:rFonts w:ascii="Times New Roman" w:hAnsi="Times New Roman" w:cs="Times New Roman"/>
        </w:rPr>
        <w:t xml:space="preserve"> because of sexual harassment</w:t>
      </w:r>
      <w:r w:rsidRPr="008319BB">
        <w:rPr>
          <w:rFonts w:ascii="Times New Roman" w:hAnsi="Times New Roman" w:cs="Times New Roman"/>
        </w:rPr>
        <w:t xml:space="preserve">. </w:t>
      </w:r>
      <w:r>
        <w:rPr>
          <w:rFonts w:ascii="Times New Roman" w:hAnsi="Times New Roman" w:cs="Times New Roman"/>
        </w:rPr>
        <w:t>To recover monetary damages, a plaintiff</w:t>
      </w:r>
      <w:r w:rsidRPr="008319BB">
        <w:rPr>
          <w:rFonts w:ascii="Times New Roman" w:hAnsi="Times New Roman" w:cs="Times New Roman"/>
        </w:rPr>
        <w:t xml:space="preserve"> must show that their school was deliberately indifferent to known sexual harassment that was severe and pervasive and deprived a student of access to educational opportunities and benefits.</w:t>
      </w:r>
      <w:r w:rsidRPr="1627AC4F">
        <w:rPr>
          <w:rStyle w:val="FootnoteReference"/>
          <w:rFonts w:cs="Times New Roman"/>
        </w:rPr>
        <w:footnoteReference w:id="25"/>
      </w:r>
      <w:r w:rsidRPr="008319BB">
        <w:rPr>
          <w:rFonts w:ascii="Times New Roman" w:hAnsi="Times New Roman" w:cs="Times New Roman"/>
        </w:rPr>
        <w:t xml:space="preserve"> But</w:t>
      </w:r>
      <w:r>
        <w:rPr>
          <w:rFonts w:ascii="Times New Roman" w:hAnsi="Times New Roman" w:cs="Times New Roman"/>
        </w:rPr>
        <w:t xml:space="preserve"> in establishing that standard</w:t>
      </w:r>
      <w:r w:rsidRPr="008319BB">
        <w:rPr>
          <w:rFonts w:ascii="Times New Roman" w:hAnsi="Times New Roman" w:cs="Times New Roman"/>
        </w:rPr>
        <w:t xml:space="preserve"> the Court recognized that </w:t>
      </w:r>
      <w:r>
        <w:rPr>
          <w:rFonts w:ascii="Times New Roman" w:hAnsi="Times New Roman" w:cs="Times New Roman"/>
        </w:rPr>
        <w:t>it was</w:t>
      </w:r>
      <w:r w:rsidRPr="008319BB">
        <w:rPr>
          <w:rFonts w:ascii="Times New Roman" w:hAnsi="Times New Roman" w:cs="Times New Roman"/>
        </w:rPr>
        <w:t xml:space="preserve"> </w:t>
      </w:r>
      <w:r w:rsidRPr="1627AC4F">
        <w:rPr>
          <w:rFonts w:ascii="Times New Roman" w:hAnsi="Times New Roman" w:cs="Times New Roman"/>
          <w:i/>
          <w:iCs/>
        </w:rPr>
        <w:t>specific</w:t>
      </w:r>
      <w:r w:rsidRPr="008319BB">
        <w:rPr>
          <w:rFonts w:ascii="Times New Roman" w:hAnsi="Times New Roman" w:cs="Times New Roman"/>
        </w:rPr>
        <w:t xml:space="preserve"> to private suits seeking monetary damages, not to administrative enforcement. </w:t>
      </w:r>
      <w:r>
        <w:rPr>
          <w:rFonts w:ascii="Times New Roman" w:hAnsi="Times New Roman" w:cs="Times New Roman"/>
        </w:rPr>
        <w:t>It</w:t>
      </w:r>
      <w:r w:rsidRPr="008319BB">
        <w:rPr>
          <w:rFonts w:ascii="Times New Roman" w:hAnsi="Times New Roman" w:cs="Times New Roman"/>
        </w:rPr>
        <w:t xml:space="preserve"> specifically noted that </w:t>
      </w:r>
      <w:r>
        <w:rPr>
          <w:rFonts w:ascii="Times New Roman" w:hAnsi="Times New Roman" w:cs="Times New Roman"/>
        </w:rPr>
        <w:t>the standard it announced</w:t>
      </w:r>
      <w:r w:rsidRPr="008319BB">
        <w:rPr>
          <w:rFonts w:ascii="Times New Roman" w:hAnsi="Times New Roman" w:cs="Times New Roman"/>
        </w:rPr>
        <w:t xml:space="preserve"> did not affect agency action: </w:t>
      </w:r>
      <w:r>
        <w:rPr>
          <w:rFonts w:ascii="Times New Roman" w:hAnsi="Times New Roman" w:cs="Times New Roman"/>
        </w:rPr>
        <w:t>the Department</w:t>
      </w:r>
      <w:r w:rsidRPr="008319BB">
        <w:rPr>
          <w:rFonts w:ascii="Times New Roman" w:hAnsi="Times New Roman" w:cs="Times New Roman"/>
        </w:rPr>
        <w:t xml:space="preserve"> was still permitted to administratively enforce rules addressing a broader range of conduct to fulfill Congress’s direction to effectuate Title IX’s nondiscrimination mandate.</w:t>
      </w:r>
      <w:r w:rsidRPr="1627AC4F">
        <w:rPr>
          <w:rStyle w:val="FootnoteReference"/>
          <w:rFonts w:cs="Times New Roman"/>
        </w:rPr>
        <w:footnoteReference w:id="26"/>
      </w:r>
      <w:r w:rsidRPr="008319BB">
        <w:rPr>
          <w:rFonts w:ascii="Times New Roman" w:hAnsi="Times New Roman" w:cs="Times New Roman"/>
        </w:rPr>
        <w:t xml:space="preserve"> </w:t>
      </w:r>
      <w:r>
        <w:rPr>
          <w:rFonts w:ascii="Times New Roman" w:hAnsi="Times New Roman" w:cs="Times New Roman"/>
        </w:rPr>
        <w:t>It drew a distinction between “defin[ing] the scope of behavior that Title IX proscribes” and identifying the narrower circumstances in which a school’s failure to respond to harassment supports a claim for monetary damages.</w:t>
      </w:r>
      <w:r>
        <w:rPr>
          <w:rStyle w:val="FootnoteReference"/>
          <w:rFonts w:cs="Times New Roman"/>
        </w:rPr>
        <w:footnoteReference w:id="27"/>
      </w:r>
      <w:r>
        <w:rPr>
          <w:rFonts w:ascii="Times New Roman" w:hAnsi="Times New Roman" w:cs="Times New Roman"/>
        </w:rPr>
        <w:t xml:space="preserve"> </w:t>
      </w:r>
      <w:r w:rsidRPr="008319BB">
        <w:rPr>
          <w:rFonts w:ascii="Times New Roman" w:hAnsi="Times New Roman" w:cs="Times New Roman"/>
        </w:rPr>
        <w:t xml:space="preserve">The 2001 Guidance directly </w:t>
      </w:r>
      <w:r>
        <w:rPr>
          <w:rFonts w:ascii="Times New Roman" w:hAnsi="Times New Roman" w:cs="Times New Roman"/>
        </w:rPr>
        <w:t>addressed this, concluding</w:t>
      </w:r>
      <w:r w:rsidRPr="008319BB">
        <w:rPr>
          <w:rFonts w:ascii="Times New Roman" w:hAnsi="Times New Roman" w:cs="Times New Roman"/>
        </w:rPr>
        <w:t xml:space="preserve"> that </w:t>
      </w:r>
      <w:r>
        <w:rPr>
          <w:rFonts w:ascii="Times New Roman" w:hAnsi="Times New Roman" w:cs="Times New Roman"/>
        </w:rPr>
        <w:t>it was inappropriate for the Department to limit its enforcement activities to the narrower damages standard and that the Department</w:t>
      </w:r>
      <w:r w:rsidRPr="008319BB">
        <w:rPr>
          <w:rFonts w:ascii="Times New Roman" w:hAnsi="Times New Roman" w:cs="Times New Roman"/>
        </w:rPr>
        <w:t xml:space="preserve"> would continue to </w:t>
      </w:r>
      <w:r>
        <w:rPr>
          <w:rFonts w:ascii="Times New Roman" w:hAnsi="Times New Roman" w:cs="Times New Roman"/>
        </w:rPr>
        <w:t>enforce the</w:t>
      </w:r>
      <w:r w:rsidRPr="008319BB">
        <w:rPr>
          <w:rFonts w:ascii="Times New Roman" w:hAnsi="Times New Roman" w:cs="Times New Roman"/>
        </w:rPr>
        <w:t xml:space="preserve"> broad protections </w:t>
      </w:r>
      <w:r>
        <w:rPr>
          <w:rFonts w:ascii="Times New Roman" w:hAnsi="Times New Roman" w:cs="Times New Roman"/>
        </w:rPr>
        <w:t>provided under</w:t>
      </w:r>
      <w:r w:rsidRPr="008319BB">
        <w:rPr>
          <w:rFonts w:ascii="Times New Roman" w:hAnsi="Times New Roman" w:cs="Times New Roman"/>
        </w:rPr>
        <w:t xml:space="preserve"> Title IX. Indeed, in the</w:t>
      </w:r>
      <w:r>
        <w:rPr>
          <w:rFonts w:ascii="Times New Roman" w:hAnsi="Times New Roman" w:cs="Times New Roman"/>
        </w:rPr>
        <w:t xml:space="preserve"> current</w:t>
      </w:r>
      <w:r w:rsidRPr="008319BB">
        <w:rPr>
          <w:rFonts w:ascii="Times New Roman" w:hAnsi="Times New Roman" w:cs="Times New Roman"/>
        </w:rPr>
        <w:t xml:space="preserve"> proposed regulations, </w:t>
      </w:r>
      <w:r>
        <w:rPr>
          <w:rFonts w:ascii="Times New Roman" w:hAnsi="Times New Roman" w:cs="Times New Roman"/>
        </w:rPr>
        <w:t>the Department</w:t>
      </w:r>
      <w:r w:rsidRPr="008319BB">
        <w:rPr>
          <w:rFonts w:ascii="Times New Roman" w:hAnsi="Times New Roman" w:cs="Times New Roman"/>
        </w:rPr>
        <w:t xml:space="preserve"> acknowledges that it is “not required to adopt the liability standards applied by the Supreme Court in private suits for money damages</w:t>
      </w:r>
      <w:r>
        <w:rPr>
          <w:rFonts w:ascii="Times New Roman" w:hAnsi="Times New Roman" w:cs="Times New Roman"/>
        </w:rPr>
        <w:t>.</w:t>
      </w:r>
      <w:r w:rsidRPr="008319BB">
        <w:rPr>
          <w:rFonts w:ascii="Times New Roman" w:hAnsi="Times New Roman" w:cs="Times New Roman"/>
        </w:rPr>
        <w:t>”</w:t>
      </w:r>
      <w:r>
        <w:rPr>
          <w:rStyle w:val="FootnoteReference"/>
          <w:rFonts w:cs="Times New Roman"/>
        </w:rPr>
        <w:footnoteReference w:id="28"/>
      </w:r>
      <w:r w:rsidRPr="008319BB">
        <w:rPr>
          <w:rFonts w:ascii="Times New Roman" w:hAnsi="Times New Roman" w:cs="Times New Roman"/>
        </w:rPr>
        <w:t xml:space="preserve"> </w:t>
      </w:r>
      <w:r>
        <w:rPr>
          <w:rFonts w:ascii="Times New Roman" w:eastAsia="Times New Roman" w:hAnsi="Times New Roman" w:cs="Times New Roman"/>
          <w:color w:val="212121"/>
        </w:rPr>
        <w:t>As set out in further detail below, t</w:t>
      </w:r>
      <w:r w:rsidRPr="008319BB">
        <w:rPr>
          <w:rFonts w:ascii="Times New Roman" w:hAnsi="Times New Roman" w:cs="Times New Roman"/>
        </w:rPr>
        <w:t>he Supreme Court’s notice requirement, definition of harassment, and deliberate indifference standard, designed to account for the unique circumstances that present themselves when determining monetary liability, have no place in</w:t>
      </w:r>
      <w:r>
        <w:rPr>
          <w:rFonts w:ascii="Times New Roman" w:hAnsi="Times New Roman" w:cs="Times New Roman"/>
        </w:rPr>
        <w:t xml:space="preserve"> </w:t>
      </w:r>
      <w:r w:rsidRPr="008319BB">
        <w:rPr>
          <w:rFonts w:ascii="Times New Roman" w:hAnsi="Times New Roman" w:cs="Times New Roman"/>
        </w:rPr>
        <w:t xml:space="preserve">the </w:t>
      </w:r>
      <w:r>
        <w:rPr>
          <w:rFonts w:ascii="Times New Roman" w:hAnsi="Times New Roman" w:cs="Times New Roman"/>
        </w:rPr>
        <w:t xml:space="preserve">far different context of </w:t>
      </w:r>
      <w:r w:rsidRPr="008319BB">
        <w:rPr>
          <w:rFonts w:ascii="Times New Roman" w:hAnsi="Times New Roman" w:cs="Times New Roman"/>
        </w:rPr>
        <w:t xml:space="preserve">administrative </w:t>
      </w:r>
      <w:r>
        <w:rPr>
          <w:rFonts w:ascii="Times New Roman" w:hAnsi="Times New Roman" w:cs="Times New Roman"/>
        </w:rPr>
        <w:t>enforcement with its iterative process and focus on voluntary corrective action by schools</w:t>
      </w:r>
      <w:r w:rsidRPr="008319BB">
        <w:rPr>
          <w:rFonts w:ascii="Times New Roman" w:hAnsi="Times New Roman" w:cs="Times New Roman"/>
        </w:rPr>
        <w:t xml:space="preserve">. By choosing to import those liability standards, </w:t>
      </w:r>
      <w:r>
        <w:rPr>
          <w:rFonts w:ascii="Times New Roman" w:hAnsi="Times New Roman" w:cs="Times New Roman"/>
        </w:rPr>
        <w:t>the Department</w:t>
      </w:r>
      <w:r w:rsidRPr="008319BB">
        <w:rPr>
          <w:rFonts w:ascii="Times New Roman" w:hAnsi="Times New Roman" w:cs="Times New Roman"/>
        </w:rPr>
        <w:t xml:space="preserve"> confuses its enforcement mechanisms with court processes than have no place in administrative proceedings</w:t>
      </w:r>
      <w:r>
        <w:rPr>
          <w:rFonts w:ascii="Times New Roman" w:hAnsi="Times New Roman" w:cs="Times New Roman"/>
        </w:rPr>
        <w:t>, threatening</w:t>
      </w:r>
      <w:r w:rsidRPr="008319BB">
        <w:rPr>
          <w:rFonts w:ascii="Times New Roman" w:hAnsi="Times New Roman" w:cs="Times New Roman"/>
        </w:rPr>
        <w:t xml:space="preserve"> devastating effects on students</w:t>
      </w:r>
      <w:r>
        <w:rPr>
          <w:rFonts w:ascii="Times New Roman" w:hAnsi="Times New Roman" w:cs="Times New Roman"/>
        </w:rPr>
        <w:t>.</w:t>
      </w:r>
    </w:p>
    <w:p w14:paraId="3CB3B4FF" w14:textId="77777777" w:rsidR="000B2C8D" w:rsidRPr="008319BB" w:rsidRDefault="000B2C8D" w:rsidP="000B2C8D">
      <w:pPr>
        <w:spacing w:after="0"/>
        <w:rPr>
          <w:rFonts w:ascii="Times New Roman" w:eastAsia="Times New Roman" w:hAnsi="Times New Roman" w:cs="Times New Roman"/>
          <w:color w:val="212121"/>
        </w:rPr>
      </w:pPr>
    </w:p>
    <w:p w14:paraId="55337B85" w14:textId="77777777" w:rsidR="000B2C8D" w:rsidRPr="008319BB" w:rsidRDefault="000B2C8D" w:rsidP="000B2C8D">
      <w:pPr>
        <w:pStyle w:val="ListParagraph"/>
        <w:numPr>
          <w:ilvl w:val="0"/>
          <w:numId w:val="16"/>
        </w:numPr>
        <w:spacing w:after="0"/>
        <w:rPr>
          <w:rFonts w:ascii="Times New Roman" w:hAnsi="Times New Roman" w:cs="Times New Roman"/>
          <w:b/>
          <w:bCs/>
        </w:rPr>
      </w:pPr>
      <w:r w:rsidRPr="008319BB">
        <w:rPr>
          <w:rFonts w:ascii="Times New Roman" w:hAnsi="Times New Roman" w:cs="Times New Roman"/>
          <w:b/>
          <w:bCs/>
        </w:rPr>
        <w:t xml:space="preserve">The proposed rules’ notice and deliberate indifference standards and definition of sexual harassment create inconsistent rules for students versus employees. </w:t>
      </w:r>
    </w:p>
    <w:p w14:paraId="331671D6" w14:textId="77777777" w:rsidR="000B2C8D" w:rsidRPr="008319BB" w:rsidRDefault="000B2C8D" w:rsidP="000B2C8D">
      <w:pPr>
        <w:spacing w:after="0"/>
        <w:rPr>
          <w:rFonts w:ascii="Times New Roman" w:hAnsi="Times New Roman" w:cs="Times New Roman"/>
          <w:b/>
        </w:rPr>
      </w:pPr>
    </w:p>
    <w:p w14:paraId="7F19F462" w14:textId="77777777" w:rsidR="000B2C8D" w:rsidRDefault="000B2C8D" w:rsidP="000B2C8D">
      <w:pPr>
        <w:spacing w:after="0" w:line="240" w:lineRule="auto"/>
        <w:ind w:firstLine="720"/>
        <w:rPr>
          <w:rFonts w:ascii="Times New Roman" w:hAnsi="Times New Roman" w:cs="Times New Roman"/>
        </w:rPr>
      </w:pPr>
      <w:r w:rsidRPr="008319BB">
        <w:rPr>
          <w:rFonts w:ascii="Times New Roman" w:hAnsi="Times New Roman" w:cs="Times New Roman"/>
        </w:rPr>
        <w:t xml:space="preserve">Under Title VII, the federal law that addresses workplace harassment, a school is </w:t>
      </w:r>
      <w:r>
        <w:rPr>
          <w:rFonts w:ascii="Times New Roman" w:hAnsi="Times New Roman" w:cs="Times New Roman"/>
        </w:rPr>
        <w:t xml:space="preserve">potentially </w:t>
      </w:r>
      <w:r w:rsidRPr="00EC50D7">
        <w:rPr>
          <w:rFonts w:ascii="Times New Roman" w:hAnsi="Times New Roman" w:cs="Times New Roman"/>
          <w:iCs/>
        </w:rPr>
        <w:t>liable</w:t>
      </w:r>
      <w:r w:rsidRPr="1627AC4F">
        <w:rPr>
          <w:rFonts w:ascii="Times New Roman" w:hAnsi="Times New Roman" w:cs="Times New Roman"/>
          <w:i/>
          <w:iCs/>
        </w:rPr>
        <w:t xml:space="preserve"> </w:t>
      </w:r>
      <w:r w:rsidRPr="008319BB">
        <w:rPr>
          <w:rFonts w:ascii="Times New Roman" w:hAnsi="Times New Roman" w:cs="Times New Roman"/>
        </w:rPr>
        <w:t xml:space="preserve">for harassment </w:t>
      </w:r>
      <w:r>
        <w:rPr>
          <w:rFonts w:ascii="Times New Roman" w:hAnsi="Times New Roman" w:cs="Times New Roman"/>
        </w:rPr>
        <w:t>of</w:t>
      </w:r>
      <w:r w:rsidRPr="008319BB">
        <w:rPr>
          <w:rFonts w:ascii="Times New Roman" w:hAnsi="Times New Roman" w:cs="Times New Roman"/>
        </w:rPr>
        <w:t xml:space="preserve"> an employee</w:t>
      </w:r>
      <w:r>
        <w:rPr>
          <w:rFonts w:ascii="Times New Roman" w:hAnsi="Times New Roman" w:cs="Times New Roman"/>
        </w:rPr>
        <w:t xml:space="preserve"> </w:t>
      </w:r>
      <w:r w:rsidRPr="00BF3397">
        <w:rPr>
          <w:rFonts w:ascii="Times New Roman" w:hAnsi="Times New Roman" w:cs="Times New Roman"/>
        </w:rPr>
        <w:t xml:space="preserve">if the harassment is “sufficiently severe </w:t>
      </w:r>
      <w:r w:rsidRPr="00BF3397">
        <w:rPr>
          <w:rFonts w:ascii="Times New Roman" w:hAnsi="Times New Roman" w:cs="Times New Roman"/>
          <w:i/>
          <w:iCs/>
        </w:rPr>
        <w:t>or</w:t>
      </w:r>
      <w:r w:rsidRPr="00BF3397">
        <w:rPr>
          <w:rFonts w:ascii="Times New Roman" w:hAnsi="Times New Roman" w:cs="Times New Roman"/>
        </w:rPr>
        <w:t xml:space="preserve"> pervasive to </w:t>
      </w:r>
      <w:r w:rsidRPr="00BF3397">
        <w:rPr>
          <w:rFonts w:ascii="Times New Roman" w:hAnsi="Times New Roman" w:cs="Times New Roman"/>
          <w:i/>
          <w:iCs/>
        </w:rPr>
        <w:t>alter</w:t>
      </w:r>
      <w:r w:rsidRPr="00BF3397">
        <w:rPr>
          <w:rFonts w:ascii="Times New Roman" w:hAnsi="Times New Roman" w:cs="Times New Roman"/>
        </w:rPr>
        <w:t xml:space="preserve"> the conditions of the victim’s employment” (emphasis added</w:t>
      </w:r>
      <w:r>
        <w:rPr>
          <w:rFonts w:ascii="Times New Roman" w:hAnsi="Times New Roman" w:cs="Times New Roman"/>
        </w:rPr>
        <w:t xml:space="preserve">). If the employee is harassed by a coworker or other third party, the school is liable if </w:t>
      </w:r>
      <w:r w:rsidRPr="008319BB">
        <w:rPr>
          <w:rFonts w:ascii="Times New Roman" w:hAnsi="Times New Roman" w:cs="Times New Roman"/>
        </w:rPr>
        <w:t xml:space="preserve">(1) </w:t>
      </w:r>
      <w:r>
        <w:rPr>
          <w:rFonts w:ascii="Times New Roman" w:hAnsi="Times New Roman" w:cs="Times New Roman"/>
        </w:rPr>
        <w:t xml:space="preserve">it </w:t>
      </w:r>
      <w:r w:rsidRPr="008319BB">
        <w:rPr>
          <w:rFonts w:ascii="Times New Roman" w:hAnsi="Times New Roman" w:cs="Times New Roman"/>
        </w:rPr>
        <w:t xml:space="preserve">“knew or should have known of the misconduct” </w:t>
      </w:r>
      <w:r>
        <w:rPr>
          <w:rFonts w:ascii="Times New Roman" w:hAnsi="Times New Roman" w:cs="Times New Roman"/>
        </w:rPr>
        <w:t xml:space="preserve">and </w:t>
      </w:r>
      <w:r w:rsidRPr="008319BB">
        <w:rPr>
          <w:rFonts w:ascii="Times New Roman" w:hAnsi="Times New Roman" w:cs="Times New Roman"/>
        </w:rPr>
        <w:t>(2) failed to take immediate and appropriate corrective action</w:t>
      </w:r>
      <w:r>
        <w:rPr>
          <w:rFonts w:ascii="Times New Roman" w:hAnsi="Times New Roman" w:cs="Times New Roman"/>
        </w:rPr>
        <w:t>.</w:t>
      </w:r>
      <w:r w:rsidRPr="1627AC4F">
        <w:rPr>
          <w:rStyle w:val="FootnoteReference"/>
          <w:rFonts w:cs="Times New Roman"/>
        </w:rPr>
        <w:footnoteReference w:id="29"/>
      </w:r>
      <w:r w:rsidRPr="008319BB">
        <w:rPr>
          <w:rFonts w:ascii="Times New Roman" w:hAnsi="Times New Roman" w:cs="Times New Roman"/>
        </w:rPr>
        <w:t xml:space="preserve"> </w:t>
      </w:r>
      <w:r>
        <w:rPr>
          <w:rFonts w:ascii="Times New Roman" w:hAnsi="Times New Roman" w:cs="Times New Roman"/>
        </w:rPr>
        <w:t>If the employee is harassed by a supervisor, the school is automatically liable if the harassment resulted in a tangible employment action such as firing or demotion, and otherwise unless the school can prove that the employee unreasonably failed to take advantage of opportunities offered by the school to address harassment.</w:t>
      </w:r>
      <w:r w:rsidRPr="00BF3397">
        <w:rPr>
          <w:rFonts w:ascii="Times New Roman" w:hAnsi="Times New Roman" w:cs="Times New Roman"/>
          <w:color w:val="000000"/>
          <w:shd w:val="clear" w:color="auto" w:fill="FFFFFF"/>
          <w:vertAlign w:val="superscript"/>
        </w:rPr>
        <w:t xml:space="preserve"> </w:t>
      </w:r>
      <w:r w:rsidRPr="00BF3397">
        <w:rPr>
          <w:rFonts w:ascii="Times New Roman" w:hAnsi="Times New Roman" w:cs="Times New Roman"/>
          <w:vertAlign w:val="superscript"/>
        </w:rPr>
        <w:footnoteReference w:id="30"/>
      </w:r>
      <w:r>
        <w:rPr>
          <w:rFonts w:ascii="Times New Roman" w:hAnsi="Times New Roman" w:cs="Times New Roman"/>
        </w:rPr>
        <w:t xml:space="preserve"> </w:t>
      </w:r>
      <w:r w:rsidRPr="008319BB">
        <w:rPr>
          <w:rFonts w:ascii="Times New Roman" w:hAnsi="Times New Roman" w:cs="Times New Roman"/>
        </w:rPr>
        <w:t xml:space="preserve">However, under the proposed rules, a school would only be liable for harassment against </w:t>
      </w:r>
      <w:r>
        <w:rPr>
          <w:rFonts w:ascii="Times New Roman" w:hAnsi="Times New Roman" w:cs="Times New Roman"/>
        </w:rPr>
        <w:t xml:space="preserve">a </w:t>
      </w:r>
      <w:r w:rsidRPr="008319BB">
        <w:rPr>
          <w:rFonts w:ascii="Times New Roman" w:hAnsi="Times New Roman" w:cs="Times New Roman"/>
        </w:rPr>
        <w:t xml:space="preserve">student if it is (1) deliberately indifferent to (2) sexual harassment that is so severe, pervasive, </w:t>
      </w:r>
      <w:r w:rsidRPr="1627AC4F">
        <w:rPr>
          <w:rFonts w:ascii="Times New Roman" w:hAnsi="Times New Roman" w:cs="Times New Roman"/>
          <w:i/>
          <w:iCs/>
        </w:rPr>
        <w:t>and</w:t>
      </w:r>
      <w:r w:rsidRPr="008319BB">
        <w:rPr>
          <w:rFonts w:ascii="Times New Roman" w:hAnsi="Times New Roman" w:cs="Times New Roman"/>
        </w:rPr>
        <w:t xml:space="preserve"> objectively offensive that it </w:t>
      </w:r>
      <w:r w:rsidRPr="1627AC4F">
        <w:rPr>
          <w:rFonts w:ascii="Times New Roman" w:hAnsi="Times New Roman" w:cs="Times New Roman"/>
          <w:i/>
          <w:iCs/>
        </w:rPr>
        <w:t>denied</w:t>
      </w:r>
      <w:r w:rsidRPr="008319BB">
        <w:rPr>
          <w:rFonts w:ascii="Times New Roman" w:hAnsi="Times New Roman" w:cs="Times New Roman"/>
        </w:rPr>
        <w:t xml:space="preserve"> the student access to the school’s program or activity; (3) the harassment occurred within the school’s program or activity; and (4) a school employee with “the authority to institute corrective measures” had “actual knowledge” of the harassment. </w:t>
      </w:r>
      <w:r>
        <w:rPr>
          <w:rFonts w:ascii="Times New Roman" w:hAnsi="Times New Roman" w:cs="Times New Roman"/>
        </w:rPr>
        <w:t xml:space="preserve">In other words, under the proposed rules, schools would be held to a far lesser standard in addressing the harassment of students—including minors—under its care than addressing harassment of adult employees. </w:t>
      </w:r>
    </w:p>
    <w:p w14:paraId="21C1450C" w14:textId="77777777" w:rsidR="000B2C8D" w:rsidRDefault="000B2C8D" w:rsidP="000B2C8D">
      <w:pPr>
        <w:spacing w:after="0" w:line="240" w:lineRule="auto"/>
        <w:ind w:firstLine="720"/>
        <w:rPr>
          <w:rFonts w:ascii="Times New Roman" w:hAnsi="Times New Roman" w:cs="Times New Roman"/>
        </w:rPr>
      </w:pPr>
    </w:p>
    <w:p w14:paraId="0E829123" w14:textId="77777777" w:rsidR="000B2C8D" w:rsidRPr="008319BB" w:rsidRDefault="000B2C8D" w:rsidP="000B2C8D">
      <w:pPr>
        <w:spacing w:after="0" w:line="240" w:lineRule="auto"/>
        <w:ind w:firstLine="720"/>
        <w:rPr>
          <w:rFonts w:ascii="Times New Roman" w:hAnsi="Times New Roman" w:cs="Times New Roman"/>
        </w:rPr>
      </w:pPr>
      <w:r>
        <w:rPr>
          <w:rFonts w:ascii="Times New Roman" w:hAnsi="Times New Roman" w:cs="Times New Roman"/>
        </w:rPr>
        <w:t>Moreover, in contrast to the Title VII approach, which recognizes employer responsibility for harassment enabled by supervisory authority, and in contrast to the 2001 Guidance, the proposed rule does not recognize any higher obligation by schools to address harassment of students by school employees who are exercising authority over students.</w:t>
      </w:r>
      <w:r w:rsidRPr="008319BB">
        <w:rPr>
          <w:rFonts w:ascii="Times New Roman" w:hAnsi="Times New Roman" w:cs="Times New Roman"/>
        </w:rPr>
        <w:t xml:space="preserve"> The 2001 Guidance imposed liability when an employee “is acting (or </w:t>
      </w:r>
      <w:r>
        <w:rPr>
          <w:rFonts w:ascii="Times New Roman" w:hAnsi="Times New Roman" w:cs="Times New Roman"/>
        </w:rPr>
        <w:t>. . .</w:t>
      </w:r>
      <w:r w:rsidRPr="008319BB">
        <w:rPr>
          <w:rFonts w:ascii="Times New Roman" w:hAnsi="Times New Roman" w:cs="Times New Roman"/>
        </w:rPr>
        <w:t xml:space="preserve"> reasonably appears to be acting) in the context of carrying out these responsibilities over students” and engages in sexual harassment.</w:t>
      </w:r>
      <w:r w:rsidRPr="1627AC4F">
        <w:rPr>
          <w:rStyle w:val="FootnoteReference"/>
          <w:rFonts w:cs="Times New Roman"/>
        </w:rPr>
        <w:footnoteReference w:id="31"/>
      </w:r>
      <w:r w:rsidRPr="008319BB">
        <w:rPr>
          <w:rFonts w:ascii="Times New Roman" w:hAnsi="Times New Roman" w:cs="Times New Roman"/>
        </w:rPr>
        <w:t xml:space="preserve"> By </w:t>
      </w:r>
      <w:r>
        <w:rPr>
          <w:rFonts w:ascii="Times New Roman" w:hAnsi="Times New Roman" w:cs="Times New Roman"/>
        </w:rPr>
        <w:t>jettisoning this standard</w:t>
      </w:r>
      <w:r w:rsidRPr="008319BB">
        <w:rPr>
          <w:rFonts w:ascii="Times New Roman" w:hAnsi="Times New Roman" w:cs="Times New Roman"/>
        </w:rPr>
        <w:t xml:space="preserve">, </w:t>
      </w:r>
      <w:r>
        <w:rPr>
          <w:rFonts w:ascii="Times New Roman" w:hAnsi="Times New Roman" w:cs="Times New Roman"/>
        </w:rPr>
        <w:t>the Department</w:t>
      </w:r>
      <w:r w:rsidRPr="008319BB">
        <w:rPr>
          <w:rFonts w:ascii="Times New Roman" w:hAnsi="Times New Roman" w:cs="Times New Roman"/>
        </w:rPr>
        <w:t xml:space="preserve"> would free schools from liability </w:t>
      </w:r>
      <w:r>
        <w:rPr>
          <w:rFonts w:ascii="Times New Roman" w:hAnsi="Times New Roman" w:cs="Times New Roman"/>
        </w:rPr>
        <w:t xml:space="preserve">in many instances even </w:t>
      </w:r>
      <w:r w:rsidRPr="008319BB">
        <w:rPr>
          <w:rFonts w:ascii="Times New Roman" w:hAnsi="Times New Roman" w:cs="Times New Roman"/>
        </w:rPr>
        <w:t xml:space="preserve">when their employees </w:t>
      </w:r>
      <w:r>
        <w:rPr>
          <w:rFonts w:ascii="Times New Roman" w:hAnsi="Times New Roman" w:cs="Times New Roman"/>
        </w:rPr>
        <w:t>use the authority they exercise as school employees to</w:t>
      </w:r>
      <w:r w:rsidRPr="008319BB">
        <w:rPr>
          <w:rFonts w:ascii="Times New Roman" w:hAnsi="Times New Roman" w:cs="Times New Roman"/>
        </w:rPr>
        <w:t xml:space="preserve"> harass students. Under the proposed rules, </w:t>
      </w:r>
      <w:r>
        <w:rPr>
          <w:rFonts w:ascii="Times New Roman" w:hAnsi="Times New Roman" w:cs="Times New Roman"/>
        </w:rPr>
        <w:t>for example, serial abusers</w:t>
      </w:r>
      <w:r w:rsidRPr="008319BB">
        <w:rPr>
          <w:rFonts w:ascii="Times New Roman" w:hAnsi="Times New Roman" w:cs="Times New Roman"/>
        </w:rPr>
        <w:t xml:space="preserve"> like Larry Nassar, who assaulted</w:t>
      </w:r>
      <w:r>
        <w:rPr>
          <w:rFonts w:ascii="Times New Roman" w:hAnsi="Times New Roman" w:cs="Times New Roman"/>
        </w:rPr>
        <w:t xml:space="preserve"> hundreds</w:t>
      </w:r>
      <w:r w:rsidRPr="008319BB">
        <w:rPr>
          <w:rFonts w:ascii="Times New Roman" w:hAnsi="Times New Roman" w:cs="Times New Roman"/>
        </w:rPr>
        <w:t xml:space="preserve"> </w:t>
      </w:r>
      <w:r>
        <w:rPr>
          <w:rFonts w:ascii="Times New Roman" w:hAnsi="Times New Roman" w:cs="Times New Roman"/>
        </w:rPr>
        <w:t xml:space="preserve">of </w:t>
      </w:r>
      <w:r w:rsidRPr="008319BB">
        <w:rPr>
          <w:rFonts w:ascii="Times New Roman" w:hAnsi="Times New Roman" w:cs="Times New Roman"/>
        </w:rPr>
        <w:t xml:space="preserve">students in his role as a school doctor, would not be held responsible for harassment that survivors were too embarrassed or afraid to report. </w:t>
      </w:r>
    </w:p>
    <w:p w14:paraId="1609EA76" w14:textId="77777777" w:rsidR="000B2C8D" w:rsidRPr="008319BB" w:rsidRDefault="000B2C8D" w:rsidP="000B2C8D">
      <w:pPr>
        <w:spacing w:after="0"/>
        <w:ind w:firstLine="720"/>
        <w:rPr>
          <w:rFonts w:ascii="Times New Roman" w:hAnsi="Times New Roman" w:cs="Times New Roman"/>
        </w:rPr>
      </w:pPr>
      <w:r w:rsidRPr="008319BB">
        <w:rPr>
          <w:rFonts w:ascii="Times New Roman" w:hAnsi="Times New Roman" w:cs="Times New Roman"/>
        </w:rPr>
        <w:t xml:space="preserve">The drastic differences between Title VII and the proposed rules would mean that </w:t>
      </w:r>
      <w:r>
        <w:rPr>
          <w:rFonts w:ascii="Times New Roman" w:hAnsi="Times New Roman" w:cs="Times New Roman"/>
        </w:rPr>
        <w:t xml:space="preserve">in many instances </w:t>
      </w:r>
      <w:r w:rsidRPr="008319BB">
        <w:rPr>
          <w:rFonts w:ascii="Times New Roman" w:hAnsi="Times New Roman" w:cs="Times New Roman"/>
        </w:rPr>
        <w:t xml:space="preserve">schools are </w:t>
      </w:r>
      <w:r w:rsidRPr="008319BB">
        <w:rPr>
          <w:rFonts w:ascii="Times New Roman" w:hAnsi="Times New Roman" w:cs="Times New Roman"/>
          <w:i/>
          <w:iCs/>
        </w:rPr>
        <w:t>prohibited</w:t>
      </w:r>
      <w:r w:rsidRPr="008319BB">
        <w:rPr>
          <w:rFonts w:ascii="Times New Roman" w:hAnsi="Times New Roman" w:cs="Times New Roman"/>
        </w:rPr>
        <w:t xml:space="preserve"> from taking the same steps to protect children in schools that they are </w:t>
      </w:r>
      <w:r w:rsidRPr="008319BB">
        <w:rPr>
          <w:rFonts w:ascii="Times New Roman" w:hAnsi="Times New Roman" w:cs="Times New Roman"/>
          <w:i/>
          <w:iCs/>
        </w:rPr>
        <w:t>required</w:t>
      </w:r>
      <w:r w:rsidRPr="008319BB">
        <w:rPr>
          <w:rFonts w:ascii="Times New Roman" w:hAnsi="Times New Roman" w:cs="Times New Roman"/>
        </w:rPr>
        <w:t xml:space="preserve"> to take to protect adults in the workplace</w:t>
      </w:r>
      <w:r>
        <w:rPr>
          <w:rFonts w:ascii="Times New Roman" w:hAnsi="Times New Roman" w:cs="Times New Roman"/>
        </w:rPr>
        <w:t>, as set out further below</w:t>
      </w:r>
      <w:r w:rsidRPr="008319BB">
        <w:rPr>
          <w:rFonts w:ascii="Times New Roman" w:hAnsi="Times New Roman" w:cs="Times New Roman"/>
        </w:rPr>
        <w:t xml:space="preserve">. And when they are not affirmatively prohibited from taking action, the proposed rules still create a more demanding standard for children in schools than for adults in the workplace to get help in ending sexual harassment. </w:t>
      </w:r>
    </w:p>
    <w:p w14:paraId="15748098" w14:textId="77777777" w:rsidR="000B2C8D" w:rsidRPr="008319BB" w:rsidRDefault="000B2C8D" w:rsidP="000B2C8D">
      <w:pPr>
        <w:spacing w:after="0"/>
        <w:ind w:firstLine="720"/>
        <w:rPr>
          <w:rFonts w:ascii="Times New Roman" w:hAnsi="Times New Roman" w:cs="Times New Roman"/>
          <w:b/>
        </w:rPr>
      </w:pPr>
    </w:p>
    <w:p w14:paraId="317604E3" w14:textId="77777777" w:rsidR="000B2C8D" w:rsidRPr="008319BB" w:rsidRDefault="000B2C8D" w:rsidP="000B2C8D">
      <w:pPr>
        <w:pStyle w:val="ListParagraph"/>
        <w:numPr>
          <w:ilvl w:val="0"/>
          <w:numId w:val="16"/>
        </w:numPr>
        <w:spacing w:after="0"/>
        <w:rPr>
          <w:rFonts w:ascii="Times New Roman" w:hAnsi="Times New Roman" w:cs="Times New Roman"/>
        </w:rPr>
      </w:pPr>
      <w:r w:rsidRPr="008319BB">
        <w:rPr>
          <w:rFonts w:ascii="Times New Roman" w:hAnsi="Times New Roman" w:cs="Times New Roman"/>
          <w:b/>
          <w:bCs/>
        </w:rPr>
        <w:t>The proposed notice requirement undermines Title IX’s discrimination protections by making it harder to report sexual harassment and assault. (§§ 106.44(a) &amp; 106.30)</w:t>
      </w:r>
    </w:p>
    <w:p w14:paraId="17A63EC0" w14:textId="77777777" w:rsidR="000B2C8D" w:rsidRPr="008319BB" w:rsidRDefault="000B2C8D" w:rsidP="000B2C8D">
      <w:pPr>
        <w:spacing w:after="0"/>
        <w:ind w:firstLine="720"/>
        <w:rPr>
          <w:rFonts w:ascii="Times New Roman" w:hAnsi="Times New Roman" w:cs="Times New Roman"/>
        </w:rPr>
      </w:pPr>
    </w:p>
    <w:p w14:paraId="5FC20DC3" w14:textId="77777777" w:rsidR="000B2C8D" w:rsidRPr="008319BB" w:rsidRDefault="000B2C8D" w:rsidP="000B2C8D">
      <w:pPr>
        <w:spacing w:after="0" w:line="240" w:lineRule="auto"/>
        <w:ind w:firstLine="720"/>
        <w:rPr>
          <w:rFonts w:ascii="Times New Roman" w:hAnsi="Times New Roman" w:cs="Times New Roman"/>
        </w:rPr>
      </w:pPr>
      <w:r w:rsidRPr="008319BB">
        <w:rPr>
          <w:rFonts w:ascii="Times New Roman" w:hAnsi="Times New Roman" w:cs="Times New Roman"/>
        </w:rPr>
        <w:t xml:space="preserve">Under the proposed rules, schools would only be responsible for addressing sexual harassment when one of a small subset of school employees actually knew about the harassment. </w:t>
      </w:r>
      <w:r>
        <w:rPr>
          <w:rFonts w:ascii="Times New Roman" w:hAnsi="Times New Roman" w:cs="Times New Roman"/>
        </w:rPr>
        <w:t xml:space="preserve">Schools would not be required to address sexual harassment </w:t>
      </w:r>
      <w:r w:rsidRPr="00EC50D7">
        <w:rPr>
          <w:rFonts w:ascii="Times New Roman" w:hAnsi="Times New Roman" w:cs="Times New Roman"/>
        </w:rPr>
        <w:t>unless</w:t>
      </w:r>
      <w:r>
        <w:rPr>
          <w:rFonts w:ascii="Times New Roman" w:hAnsi="Times New Roman" w:cs="Times New Roman"/>
        </w:rPr>
        <w:t xml:space="preserve"> there was “actual knowledge” of the harassment by (i) a Title IX coordinator, (ii) a K-12 teacher (but only for student-on-student harassment, </w:t>
      </w:r>
      <w:r>
        <w:rPr>
          <w:rFonts w:ascii="Times New Roman" w:hAnsi="Times New Roman" w:cs="Times New Roman"/>
          <w:i/>
        </w:rPr>
        <w:t xml:space="preserve">not </w:t>
      </w:r>
      <w:r>
        <w:rPr>
          <w:rFonts w:ascii="Times New Roman" w:hAnsi="Times New Roman" w:cs="Times New Roman"/>
        </w:rPr>
        <w:t>employee-on-student harassment); or (iii) an official who has “the authority to institute corrective measures.”</w:t>
      </w:r>
      <w:r>
        <w:rPr>
          <w:rStyle w:val="FootnoteReference"/>
          <w:rFonts w:cs="Times New Roman"/>
        </w:rPr>
        <w:footnoteReference w:id="32"/>
      </w:r>
      <w:r>
        <w:rPr>
          <w:rFonts w:ascii="Times New Roman" w:hAnsi="Times New Roman" w:cs="Times New Roman"/>
        </w:rPr>
        <w:t xml:space="preserve"> </w:t>
      </w:r>
      <w:r w:rsidRPr="006E029E">
        <w:rPr>
          <w:rFonts w:ascii="Times New Roman" w:hAnsi="Times New Roman" w:cs="Times New Roman"/>
        </w:rPr>
        <w:t>This</w:t>
      </w:r>
      <w:r w:rsidRPr="008319BB">
        <w:rPr>
          <w:rFonts w:ascii="Times New Roman" w:hAnsi="Times New Roman" w:cs="Times New Roman"/>
        </w:rPr>
        <w:t xml:space="preserve"> is a dramatic change</w:t>
      </w:r>
      <w:r>
        <w:rPr>
          <w:rFonts w:ascii="Times New Roman" w:hAnsi="Times New Roman" w:cs="Times New Roman"/>
        </w:rPr>
        <w:t>,</w:t>
      </w:r>
      <w:r w:rsidRPr="008319BB">
        <w:rPr>
          <w:rFonts w:ascii="Times New Roman" w:hAnsi="Times New Roman" w:cs="Times New Roman"/>
          <w:color w:val="212121"/>
          <w:shd w:val="clear" w:color="auto" w:fill="FFFFFF"/>
        </w:rPr>
        <w:t xml:space="preserve"> </w:t>
      </w:r>
      <w:r w:rsidRPr="008319BB">
        <w:rPr>
          <w:rFonts w:ascii="Times New Roman" w:hAnsi="Times New Roman" w:cs="Times New Roman"/>
        </w:rPr>
        <w:t xml:space="preserve">as the Department has long required schools to address </w:t>
      </w:r>
      <w:r w:rsidRPr="1627AC4F">
        <w:rPr>
          <w:rFonts w:ascii="Times New Roman" w:hAnsi="Times New Roman" w:cs="Times New Roman"/>
          <w:i/>
          <w:iCs/>
        </w:rPr>
        <w:t>student-on-student</w:t>
      </w:r>
      <w:r w:rsidRPr="008319BB">
        <w:rPr>
          <w:rFonts w:ascii="Times New Roman" w:hAnsi="Times New Roman" w:cs="Times New Roman"/>
        </w:rPr>
        <w:t xml:space="preserve"> sexual harassment if almost any school employee</w:t>
      </w:r>
      <w:r w:rsidRPr="1627AC4F">
        <w:rPr>
          <w:rStyle w:val="FootnoteReference"/>
          <w:rFonts w:cs="Times New Roman"/>
        </w:rPr>
        <w:footnoteReference w:id="33"/>
      </w:r>
      <w:r w:rsidRPr="008319BB">
        <w:rPr>
          <w:rFonts w:ascii="Times New Roman" w:hAnsi="Times New Roman" w:cs="Times New Roman"/>
        </w:rPr>
        <w:t xml:space="preserve"> either knows about it or should reasonably have known about it.</w:t>
      </w:r>
      <w:r w:rsidRPr="1627AC4F">
        <w:rPr>
          <w:rStyle w:val="FootnoteReference"/>
          <w:rFonts w:cs="Times New Roman"/>
        </w:rPr>
        <w:footnoteReference w:id="34"/>
      </w:r>
      <w:r w:rsidRPr="008319BB">
        <w:rPr>
          <w:rFonts w:ascii="Times New Roman" w:hAnsi="Times New Roman" w:cs="Times New Roman"/>
        </w:rPr>
        <w:t xml:space="preserve"> This </w:t>
      </w:r>
      <w:r>
        <w:rPr>
          <w:rFonts w:ascii="Times New Roman" w:hAnsi="Times New Roman" w:cs="Times New Roman"/>
        </w:rPr>
        <w:t xml:space="preserve">standard </w:t>
      </w:r>
      <w:r w:rsidRPr="008319BB">
        <w:rPr>
          <w:rFonts w:ascii="Times New Roman" w:hAnsi="Times New Roman" w:cs="Times New Roman"/>
        </w:rPr>
        <w:t xml:space="preserve">takes into account the reality that many students disclose sexual abuse to employees who do not have </w:t>
      </w:r>
      <w:r>
        <w:rPr>
          <w:rFonts w:ascii="Times New Roman" w:hAnsi="Times New Roman" w:cs="Times New Roman"/>
        </w:rPr>
        <w:t>the</w:t>
      </w:r>
      <w:r w:rsidRPr="008319BB">
        <w:rPr>
          <w:rFonts w:ascii="Times New Roman" w:hAnsi="Times New Roman" w:cs="Times New Roman"/>
        </w:rPr>
        <w:t xml:space="preserve"> authority </w:t>
      </w:r>
      <w:r>
        <w:rPr>
          <w:rFonts w:ascii="Times New Roman" w:hAnsi="Times New Roman" w:cs="Times New Roman"/>
        </w:rPr>
        <w:t>to institute corrective measures</w:t>
      </w:r>
      <w:r w:rsidRPr="008319BB">
        <w:rPr>
          <w:rFonts w:ascii="Times New Roman" w:hAnsi="Times New Roman" w:cs="Times New Roman"/>
        </w:rPr>
        <w:t>, both because students seeking help turn to the adults they trust the most and because students are not informed about which employees have authority to address the harassment. The 2001 Guidance also requires schools to address all employee-on-student sexual harassment, “whether or not the [school] has ‘notice’ of the harassment.”</w:t>
      </w:r>
      <w:r w:rsidRPr="1627AC4F">
        <w:rPr>
          <w:rStyle w:val="FootnoteReference"/>
          <w:rFonts w:cs="Times New Roman"/>
        </w:rPr>
        <w:footnoteReference w:id="35"/>
      </w:r>
      <w:r w:rsidRPr="008319BB">
        <w:rPr>
          <w:rFonts w:ascii="Times New Roman" w:hAnsi="Times New Roman" w:cs="Times New Roman"/>
        </w:rPr>
        <w:t xml:space="preserve"> The 2001 Guidance recognized the particular harms of students being preyed on by adults and </w:t>
      </w:r>
      <w:r>
        <w:rPr>
          <w:rFonts w:ascii="Times New Roman" w:hAnsi="Times New Roman" w:cs="Times New Roman"/>
        </w:rPr>
        <w:t xml:space="preserve">students’ </w:t>
      </w:r>
      <w:r w:rsidRPr="008319BB">
        <w:rPr>
          <w:rFonts w:ascii="Times New Roman" w:hAnsi="Times New Roman" w:cs="Times New Roman"/>
        </w:rPr>
        <w:t>vulnerab</w:t>
      </w:r>
      <w:r>
        <w:rPr>
          <w:rFonts w:ascii="Times New Roman" w:hAnsi="Times New Roman" w:cs="Times New Roman"/>
        </w:rPr>
        <w:t>ility</w:t>
      </w:r>
      <w:r w:rsidRPr="008319BB">
        <w:rPr>
          <w:rFonts w:ascii="Times New Roman" w:hAnsi="Times New Roman" w:cs="Times New Roman"/>
        </w:rPr>
        <w:t xml:space="preserve"> to pressure </w:t>
      </w:r>
      <w:r>
        <w:rPr>
          <w:rFonts w:ascii="Times New Roman" w:hAnsi="Times New Roman" w:cs="Times New Roman"/>
        </w:rPr>
        <w:t xml:space="preserve">from adults </w:t>
      </w:r>
      <w:r w:rsidRPr="008319BB">
        <w:rPr>
          <w:rFonts w:ascii="Times New Roman" w:hAnsi="Times New Roman" w:cs="Times New Roman"/>
        </w:rPr>
        <w:t>to remain silent and accordingly acknowledge</w:t>
      </w:r>
      <w:r>
        <w:rPr>
          <w:rFonts w:ascii="Times New Roman" w:hAnsi="Times New Roman" w:cs="Times New Roman"/>
        </w:rPr>
        <w:t>d</w:t>
      </w:r>
      <w:r w:rsidRPr="008319BB">
        <w:rPr>
          <w:rFonts w:ascii="Times New Roman" w:hAnsi="Times New Roman" w:cs="Times New Roman"/>
        </w:rPr>
        <w:t xml:space="preserve"> schools’ heightened responsibilities to address harassment by their employees.</w:t>
      </w:r>
    </w:p>
    <w:p w14:paraId="3296CCA7" w14:textId="77777777" w:rsidR="000B2C8D" w:rsidRPr="008319BB" w:rsidRDefault="000B2C8D" w:rsidP="000B2C8D">
      <w:pPr>
        <w:spacing w:after="0"/>
        <w:ind w:firstLine="720"/>
        <w:rPr>
          <w:rFonts w:ascii="Times New Roman" w:hAnsi="Times New Roman" w:cs="Times New Roman"/>
        </w:rPr>
      </w:pPr>
    </w:p>
    <w:p w14:paraId="5E360233" w14:textId="77777777" w:rsidR="000B2C8D" w:rsidRDefault="000B2C8D" w:rsidP="000B2C8D">
      <w:pPr>
        <w:spacing w:after="0"/>
        <w:ind w:firstLine="720"/>
        <w:rPr>
          <w:rFonts w:ascii="Times New Roman" w:hAnsi="Times New Roman" w:cs="Times New Roman"/>
        </w:rPr>
      </w:pPr>
      <w:r w:rsidRPr="008319BB">
        <w:rPr>
          <w:rFonts w:ascii="Times New Roman" w:hAnsi="Times New Roman" w:cs="Times New Roman"/>
        </w:rPr>
        <w:t>Under the proposed rules, in contrast, if a K-12 student told a non-teacher school employee they trust—such as a guidance counselor</w:t>
      </w:r>
      <w:r>
        <w:rPr>
          <w:rFonts w:ascii="Times New Roman" w:hAnsi="Times New Roman" w:cs="Times New Roman"/>
        </w:rPr>
        <w:t>, teacher aide,</w:t>
      </w:r>
      <w:r w:rsidRPr="008319BB">
        <w:rPr>
          <w:rFonts w:ascii="Times New Roman" w:hAnsi="Times New Roman" w:cs="Times New Roman"/>
        </w:rPr>
        <w:t xml:space="preserve"> or athletics coach—that they had been sexually assaulted by another student, the school would have no obligation to help the</w:t>
      </w:r>
      <w:r>
        <w:rPr>
          <w:rFonts w:ascii="Times New Roman" w:hAnsi="Times New Roman" w:cs="Times New Roman"/>
        </w:rPr>
        <w:t xml:space="preserve"> student</w:t>
      </w:r>
      <w:r w:rsidRPr="008319BB">
        <w:rPr>
          <w:rFonts w:ascii="Times New Roman" w:hAnsi="Times New Roman" w:cs="Times New Roman"/>
        </w:rPr>
        <w:t>.</w:t>
      </w:r>
      <w:r w:rsidRPr="1627AC4F">
        <w:rPr>
          <w:rStyle w:val="FootnoteReference"/>
          <w:rFonts w:cs="Times New Roman"/>
        </w:rPr>
        <w:footnoteReference w:id="36"/>
      </w:r>
      <w:r w:rsidRPr="008319BB">
        <w:rPr>
          <w:rFonts w:ascii="Times New Roman" w:hAnsi="Times New Roman" w:cs="Times New Roman"/>
        </w:rPr>
        <w:t xml:space="preserve"> If a K-12 student told a teacher that </w:t>
      </w:r>
      <w:r>
        <w:rPr>
          <w:rFonts w:ascii="Times New Roman" w:hAnsi="Times New Roman" w:cs="Times New Roman"/>
        </w:rPr>
        <w:t>she</w:t>
      </w:r>
      <w:r w:rsidRPr="008319BB">
        <w:rPr>
          <w:rFonts w:ascii="Times New Roman" w:hAnsi="Times New Roman" w:cs="Times New Roman"/>
        </w:rPr>
        <w:t xml:space="preserve"> had been sexually assaulted by another teacher or other school employee, the school would have no obligation to help </w:t>
      </w:r>
      <w:r>
        <w:rPr>
          <w:rFonts w:ascii="Times New Roman" w:hAnsi="Times New Roman" w:cs="Times New Roman"/>
        </w:rPr>
        <w:t>her</w:t>
      </w:r>
      <w:r w:rsidRPr="008319BB">
        <w:rPr>
          <w:rFonts w:ascii="Times New Roman" w:hAnsi="Times New Roman" w:cs="Times New Roman"/>
        </w:rPr>
        <w:t>.</w:t>
      </w:r>
      <w:r w:rsidRPr="1627AC4F">
        <w:rPr>
          <w:rStyle w:val="FootnoteReference"/>
          <w:rFonts w:cs="Times New Roman"/>
        </w:rPr>
        <w:footnoteReference w:id="37"/>
      </w:r>
      <w:r w:rsidRPr="008319BB">
        <w:rPr>
          <w:rFonts w:ascii="Times New Roman" w:hAnsi="Times New Roman" w:cs="Times New Roman"/>
        </w:rPr>
        <w:t xml:space="preserve"> Perversely, the proposed rules thus provide a more limited duty for K-12 schools to respond to a student’s allegations of sexual harassment by a school employee than by a student. And if a college student told their professor or RA that they had been raped by another student</w:t>
      </w:r>
      <w:r>
        <w:rPr>
          <w:rFonts w:ascii="Times New Roman" w:hAnsi="Times New Roman" w:cs="Times New Roman"/>
        </w:rPr>
        <w:t>,</w:t>
      </w:r>
      <w:r w:rsidRPr="008319BB">
        <w:rPr>
          <w:rFonts w:ascii="Times New Roman" w:hAnsi="Times New Roman" w:cs="Times New Roman"/>
        </w:rPr>
        <w:t xml:space="preserve"> by a professor</w:t>
      </w:r>
      <w:r>
        <w:rPr>
          <w:rFonts w:ascii="Times New Roman" w:hAnsi="Times New Roman" w:cs="Times New Roman"/>
        </w:rPr>
        <w:t>,</w:t>
      </w:r>
      <w:r w:rsidRPr="008319BB">
        <w:rPr>
          <w:rFonts w:ascii="Times New Roman" w:hAnsi="Times New Roman" w:cs="Times New Roman"/>
        </w:rPr>
        <w:t xml:space="preserve"> or </w:t>
      </w:r>
      <w:r>
        <w:rPr>
          <w:rFonts w:ascii="Times New Roman" w:hAnsi="Times New Roman" w:cs="Times New Roman"/>
        </w:rPr>
        <w:t>by another employee at the university</w:t>
      </w:r>
      <w:r w:rsidRPr="008319BB">
        <w:rPr>
          <w:rFonts w:ascii="Times New Roman" w:hAnsi="Times New Roman" w:cs="Times New Roman"/>
        </w:rPr>
        <w:t xml:space="preserve">, the school would have no obligation to help them. </w:t>
      </w:r>
    </w:p>
    <w:p w14:paraId="58FF4F12" w14:textId="77777777" w:rsidR="000B2C8D" w:rsidRPr="008319BB" w:rsidRDefault="000B2C8D" w:rsidP="000B2C8D">
      <w:pPr>
        <w:spacing w:after="0" w:line="240" w:lineRule="auto"/>
        <w:ind w:firstLine="720"/>
        <w:rPr>
          <w:rFonts w:ascii="Times New Roman" w:hAnsi="Times New Roman" w:cs="Times New Roman"/>
        </w:rPr>
      </w:pPr>
    </w:p>
    <w:p w14:paraId="558938A2" w14:textId="77777777" w:rsidR="000B2C8D" w:rsidRPr="009D41D5" w:rsidRDefault="000B2C8D" w:rsidP="000B2C8D">
      <w:pPr>
        <w:spacing w:after="0"/>
        <w:ind w:firstLine="720"/>
        <w:rPr>
          <w:rFonts w:ascii="Times New Roman" w:hAnsi="Times New Roman" w:cs="Times New Roman"/>
        </w:rPr>
      </w:pPr>
      <w:r w:rsidRPr="008319BB">
        <w:rPr>
          <w:rFonts w:ascii="Times New Roman" w:hAnsi="Times New Roman" w:cs="Times New Roman"/>
        </w:rPr>
        <w:t xml:space="preserve">Sexual assault is already very difficult to talk about. Sections 106.44(a) and 106.30 would mean even when students find the courage to talk to the </w:t>
      </w:r>
      <w:r>
        <w:rPr>
          <w:rFonts w:ascii="Times New Roman" w:hAnsi="Times New Roman" w:cs="Times New Roman"/>
        </w:rPr>
        <w:t>adult school employees</w:t>
      </w:r>
      <w:r w:rsidRPr="008319BB">
        <w:rPr>
          <w:rFonts w:ascii="Times New Roman" w:hAnsi="Times New Roman" w:cs="Times New Roman"/>
        </w:rPr>
        <w:t xml:space="preserve"> they trust, schools would </w:t>
      </w:r>
      <w:r>
        <w:rPr>
          <w:rFonts w:ascii="Times New Roman" w:hAnsi="Times New Roman" w:cs="Times New Roman"/>
        </w:rPr>
        <w:t xml:space="preserve">frequently </w:t>
      </w:r>
      <w:r w:rsidRPr="008319BB">
        <w:rPr>
          <w:rFonts w:ascii="Times New Roman" w:hAnsi="Times New Roman" w:cs="Times New Roman"/>
        </w:rPr>
        <w:t>have no obligation to respond</w:t>
      </w:r>
      <w:r>
        <w:rPr>
          <w:rFonts w:ascii="Times New Roman" w:hAnsi="Times New Roman" w:cs="Times New Roman"/>
        </w:rPr>
        <w:t>. For example, if the proposed rules had been in place, c</w:t>
      </w:r>
      <w:r w:rsidRPr="008319BB">
        <w:rPr>
          <w:rFonts w:ascii="Times New Roman" w:hAnsi="Times New Roman" w:cs="Times New Roman"/>
        </w:rPr>
        <w:t>olleges like Michigan State and Penn State would have had no responsibility to stop Larry Nassar and Jerry Sandusky—just because their victims reported their experiences to school employees like athletic trainers and coaches, who are not considered to be school officials who have the “authority to institute corrective measures.”</w:t>
      </w:r>
      <w:r w:rsidRPr="0060430C">
        <w:rPr>
          <w:rFonts w:ascii="Times New Roman" w:hAnsi="Times New Roman" w:cs="Times New Roman"/>
        </w:rPr>
        <w:t xml:space="preserve"> </w:t>
      </w:r>
      <w:r>
        <w:rPr>
          <w:rFonts w:ascii="Times New Roman" w:hAnsi="Times New Roman" w:cs="Times New Roman"/>
        </w:rPr>
        <w:t xml:space="preserve">The experiences of student survivors in the Shriver Center </w:t>
      </w:r>
      <w:hyperlink r:id="rId10" w:history="1">
        <w:r w:rsidRPr="00C3098A">
          <w:rPr>
            <w:rStyle w:val="Hyperlink"/>
            <w:rFonts w:ascii="Times New Roman" w:hAnsi="Times New Roman" w:cs="Times New Roman"/>
          </w:rPr>
          <w:t>report</w:t>
        </w:r>
      </w:hyperlink>
      <w:r>
        <w:rPr>
          <w:rFonts w:ascii="Times New Roman" w:hAnsi="Times New Roman" w:cs="Times New Roman"/>
        </w:rPr>
        <w:t xml:space="preserve"> demonstrates how wrong-headed this limitation is. These proposed provisions</w:t>
      </w:r>
      <w:r w:rsidRPr="0060430C">
        <w:rPr>
          <w:rFonts w:ascii="Times New Roman" w:hAnsi="Times New Roman" w:cs="Times New Roman"/>
        </w:rPr>
        <w:t xml:space="preserve"> would absolve </w:t>
      </w:r>
      <w:r>
        <w:rPr>
          <w:rFonts w:ascii="Times New Roman" w:hAnsi="Times New Roman" w:cs="Times New Roman"/>
        </w:rPr>
        <w:t xml:space="preserve">some of </w:t>
      </w:r>
      <w:r w:rsidRPr="0060430C">
        <w:rPr>
          <w:rFonts w:ascii="Times New Roman" w:hAnsi="Times New Roman" w:cs="Times New Roman"/>
        </w:rPr>
        <w:t>the worst Title IX offenders of legal liability.</w:t>
      </w:r>
    </w:p>
    <w:p w14:paraId="0C4E898E" w14:textId="77777777" w:rsidR="000B2C8D" w:rsidRDefault="000B2C8D" w:rsidP="000B2C8D">
      <w:pPr>
        <w:spacing w:after="0"/>
        <w:ind w:firstLine="720"/>
        <w:rPr>
          <w:rFonts w:ascii="Times New Roman" w:hAnsi="Times New Roman" w:cs="Times New Roman"/>
        </w:rPr>
      </w:pPr>
    </w:p>
    <w:p w14:paraId="3BFFB2E0" w14:textId="77777777" w:rsidR="000B2C8D" w:rsidRPr="008319BB" w:rsidRDefault="000B2C8D" w:rsidP="000B2C8D">
      <w:pPr>
        <w:pStyle w:val="ListParagraph"/>
        <w:numPr>
          <w:ilvl w:val="0"/>
          <w:numId w:val="16"/>
        </w:numPr>
        <w:spacing w:after="0"/>
        <w:rPr>
          <w:rFonts w:ascii="Times New Roman" w:hAnsi="Times New Roman" w:cs="Times New Roman"/>
          <w:b/>
          <w:bCs/>
        </w:rPr>
      </w:pPr>
      <w:r w:rsidRPr="008319BB">
        <w:rPr>
          <w:rFonts w:ascii="Times New Roman" w:hAnsi="Times New Roman" w:cs="Times New Roman"/>
          <w:b/>
          <w:bCs/>
        </w:rPr>
        <w:t xml:space="preserve">The proposed definition of harassment improperly prevents schools from providing a safe learning environment. </w:t>
      </w:r>
    </w:p>
    <w:p w14:paraId="5B7E0E3F" w14:textId="77777777" w:rsidR="000B2C8D" w:rsidRPr="008319BB" w:rsidRDefault="000B2C8D" w:rsidP="000B2C8D">
      <w:pPr>
        <w:spacing w:after="0"/>
        <w:rPr>
          <w:rFonts w:ascii="Times New Roman" w:hAnsi="Times New Roman" w:cs="Times New Roman"/>
          <w:b/>
        </w:rPr>
      </w:pPr>
    </w:p>
    <w:p w14:paraId="0DF55CAF" w14:textId="77777777" w:rsidR="000B2C8D" w:rsidRPr="008319BB" w:rsidRDefault="000B2C8D" w:rsidP="000B2C8D">
      <w:pPr>
        <w:ind w:firstLine="720"/>
        <w:rPr>
          <w:rFonts w:ascii="Times New Roman" w:hAnsi="Times New Roman" w:cs="Times New Roman"/>
        </w:rPr>
      </w:pPr>
      <w:r>
        <w:rPr>
          <w:rFonts w:ascii="Times New Roman" w:hAnsi="Times New Roman" w:cs="Times New Roman"/>
        </w:rPr>
        <w:t>The proposed rule</w:t>
      </w:r>
      <w:r w:rsidRPr="008319BB">
        <w:rPr>
          <w:rFonts w:ascii="Times New Roman" w:hAnsi="Times New Roman" w:cs="Times New Roman"/>
        </w:rPr>
        <w:t xml:space="preserve"> defines sexual harassment as “unwelcome conduct on the basis of sex that is so severe, pervasive, and objectively offensive that it effectively denies a person equal access to the [school’s] education program or activity”</w:t>
      </w:r>
      <w:r>
        <w:rPr>
          <w:rStyle w:val="FootnoteReference"/>
          <w:rFonts w:cs="Times New Roman"/>
        </w:rPr>
        <w:footnoteReference w:id="38"/>
      </w:r>
      <w:r>
        <w:rPr>
          <w:rFonts w:ascii="Times New Roman" w:hAnsi="Times New Roman" w:cs="Times New Roman"/>
        </w:rPr>
        <w:t xml:space="preserve"> and mandates dismissal of complaints of harassment that do not meet this standard.</w:t>
      </w:r>
      <w:r w:rsidRPr="008319BB">
        <w:rPr>
          <w:rFonts w:ascii="Times New Roman" w:hAnsi="Times New Roman" w:cs="Times New Roman"/>
        </w:rPr>
        <w:t xml:space="preserve"> Under this definition, even if a student reports sexual harassment to the “right person,” their school would still be </w:t>
      </w:r>
      <w:r w:rsidRPr="008319BB">
        <w:rPr>
          <w:rFonts w:ascii="Times New Roman" w:hAnsi="Times New Roman" w:cs="Times New Roman"/>
          <w:i/>
          <w:iCs/>
        </w:rPr>
        <w:t>required</w:t>
      </w:r>
      <w:r w:rsidRPr="008319BB">
        <w:rPr>
          <w:rFonts w:ascii="Times New Roman" w:hAnsi="Times New Roman" w:cs="Times New Roman"/>
        </w:rPr>
        <w:t xml:space="preserve"> to ignore the student’s Title IX complaint if the harassment hasn’t yet advanced to a point that it is actively harming a student’s education. </w:t>
      </w:r>
      <w:r>
        <w:rPr>
          <w:rFonts w:ascii="Times New Roman" w:hAnsi="Times New Roman" w:cs="Times New Roman"/>
        </w:rPr>
        <w:t>A school would be required to dismiss such a complaint even if it involved</w:t>
      </w:r>
      <w:r w:rsidRPr="008319BB">
        <w:rPr>
          <w:rFonts w:ascii="Times New Roman" w:hAnsi="Times New Roman" w:cs="Times New Roman"/>
        </w:rPr>
        <w:t xml:space="preserve"> harassment of a </w:t>
      </w:r>
      <w:r>
        <w:rPr>
          <w:rFonts w:ascii="Times New Roman" w:hAnsi="Times New Roman" w:cs="Times New Roman"/>
        </w:rPr>
        <w:t xml:space="preserve">minor </w:t>
      </w:r>
      <w:r w:rsidRPr="008319BB">
        <w:rPr>
          <w:rFonts w:ascii="Times New Roman" w:hAnsi="Times New Roman" w:cs="Times New Roman"/>
        </w:rPr>
        <w:t xml:space="preserve">student by a teacher or other school employee. </w:t>
      </w:r>
      <w:r>
        <w:rPr>
          <w:rFonts w:ascii="Times New Roman" w:hAnsi="Times New Roman" w:cs="Times New Roman"/>
        </w:rPr>
        <w:t>The Department</w:t>
      </w:r>
      <w:r w:rsidRPr="008319BB">
        <w:rPr>
          <w:rFonts w:ascii="Times New Roman" w:hAnsi="Times New Roman" w:cs="Times New Roman"/>
        </w:rPr>
        <w:t xml:space="preserve">’s proposed definition is out of line with Title IX </w:t>
      </w:r>
      <w:r>
        <w:rPr>
          <w:rFonts w:ascii="Times New Roman" w:hAnsi="Times New Roman" w:cs="Times New Roman"/>
        </w:rPr>
        <w:t>purposes and precedent</w:t>
      </w:r>
      <w:r w:rsidRPr="008319BB">
        <w:rPr>
          <w:rFonts w:ascii="Times New Roman" w:hAnsi="Times New Roman" w:cs="Times New Roman"/>
        </w:rPr>
        <w:t>, discourages reporting, and excludes many forms of sexual harassment that interfere with access to educational opportunities.</w:t>
      </w:r>
      <w:r>
        <w:rPr>
          <w:rFonts w:ascii="Times New Roman" w:hAnsi="Times New Roman" w:cs="Times New Roman"/>
        </w:rPr>
        <w:t xml:space="preserve"> </w:t>
      </w:r>
    </w:p>
    <w:p w14:paraId="18F1583A" w14:textId="77777777" w:rsidR="000B2C8D" w:rsidRPr="008319BB" w:rsidRDefault="000B2C8D" w:rsidP="000B2C8D">
      <w:pPr>
        <w:spacing w:after="0" w:line="240" w:lineRule="auto"/>
        <w:ind w:firstLine="720"/>
        <w:rPr>
          <w:rFonts w:ascii="Times New Roman" w:hAnsi="Times New Roman" w:cs="Times New Roman"/>
        </w:rPr>
      </w:pPr>
      <w:r>
        <w:rPr>
          <w:rFonts w:ascii="Times New Roman" w:hAnsi="Times New Roman" w:cs="Times New Roman"/>
        </w:rPr>
        <w:t>The Department</w:t>
      </w:r>
      <w:r w:rsidRPr="008319BB">
        <w:rPr>
          <w:rFonts w:ascii="Times New Roman" w:hAnsi="Times New Roman" w:cs="Times New Roman"/>
        </w:rPr>
        <w:t xml:space="preserve"> does not provide a </w:t>
      </w:r>
      <w:r>
        <w:rPr>
          <w:rFonts w:ascii="Times New Roman" w:hAnsi="Times New Roman" w:cs="Times New Roman"/>
        </w:rPr>
        <w:t>persuasive justification</w:t>
      </w:r>
      <w:r w:rsidRPr="008319BB">
        <w:rPr>
          <w:rFonts w:ascii="Times New Roman" w:hAnsi="Times New Roman" w:cs="Times New Roman"/>
        </w:rPr>
        <w:t xml:space="preserve"> to change the definition of sexual harassment from </w:t>
      </w:r>
      <w:r>
        <w:rPr>
          <w:rFonts w:ascii="Times New Roman" w:hAnsi="Times New Roman" w:cs="Times New Roman"/>
        </w:rPr>
        <w:t>that</w:t>
      </w:r>
      <w:r w:rsidRPr="008319BB">
        <w:rPr>
          <w:rFonts w:ascii="Times New Roman" w:hAnsi="Times New Roman" w:cs="Times New Roman"/>
        </w:rPr>
        <w:t xml:space="preserve"> in the 2001 Guidance, which defines sexual harassment as “unwelcome conduct of a sexual nature.”</w:t>
      </w:r>
      <w:r w:rsidRPr="1627AC4F">
        <w:rPr>
          <w:rStyle w:val="FootnoteReference"/>
          <w:rFonts w:cs="Times New Roman"/>
        </w:rPr>
        <w:footnoteReference w:id="39"/>
      </w:r>
      <w:r w:rsidRPr="008319BB">
        <w:rPr>
          <w:rFonts w:ascii="Times New Roman" w:hAnsi="Times New Roman" w:cs="Times New Roman"/>
        </w:rPr>
        <w:t xml:space="preserve"> The current definition rightly </w:t>
      </w:r>
      <w:r>
        <w:rPr>
          <w:rFonts w:ascii="Times New Roman" w:hAnsi="Times New Roman" w:cs="Times New Roman"/>
        </w:rPr>
        <w:t>charges schools with</w:t>
      </w:r>
      <w:r w:rsidRPr="008319BB">
        <w:rPr>
          <w:rFonts w:ascii="Times New Roman" w:hAnsi="Times New Roman" w:cs="Times New Roman"/>
        </w:rPr>
        <w:t xml:space="preserve"> respond</w:t>
      </w:r>
      <w:r>
        <w:rPr>
          <w:rFonts w:ascii="Times New Roman" w:hAnsi="Times New Roman" w:cs="Times New Roman"/>
        </w:rPr>
        <w:t>ing</w:t>
      </w:r>
      <w:r w:rsidRPr="008319BB">
        <w:rPr>
          <w:rFonts w:ascii="Times New Roman" w:hAnsi="Times New Roman" w:cs="Times New Roman"/>
        </w:rPr>
        <w:t xml:space="preserve"> to harassment before it escalates to a point that students suffer severe harm. But under </w:t>
      </w:r>
      <w:r>
        <w:rPr>
          <w:rFonts w:ascii="Times New Roman" w:hAnsi="Times New Roman" w:cs="Times New Roman"/>
        </w:rPr>
        <w:t>the Department</w:t>
      </w:r>
      <w:r w:rsidRPr="008319BB">
        <w:rPr>
          <w:rFonts w:ascii="Times New Roman" w:hAnsi="Times New Roman" w:cs="Times New Roman"/>
        </w:rPr>
        <w:t>’s proposed, narrower definition of harassment, students would be forced to endure repeated and escalating levels of abuse, from a student or teacher, before their schools w</w:t>
      </w:r>
      <w:r>
        <w:rPr>
          <w:rFonts w:ascii="Times New Roman" w:hAnsi="Times New Roman" w:cs="Times New Roman"/>
        </w:rPr>
        <w:t>ould be</w:t>
      </w:r>
      <w:r w:rsidRPr="008319BB">
        <w:rPr>
          <w:rFonts w:ascii="Times New Roman" w:hAnsi="Times New Roman" w:cs="Times New Roman"/>
        </w:rPr>
        <w:t xml:space="preserve"> required to investigate and stop the harassment. If a student is turned away by their school after reporting sexual harassment, the student is extremely unlikely to report a second time when the harassment escalates. </w:t>
      </w:r>
    </w:p>
    <w:p w14:paraId="7DD27AD0" w14:textId="77777777" w:rsidR="000B2C8D" w:rsidRPr="008319BB" w:rsidRDefault="000B2C8D" w:rsidP="000B2C8D">
      <w:pPr>
        <w:spacing w:after="0" w:line="240" w:lineRule="auto"/>
        <w:rPr>
          <w:rFonts w:ascii="Times New Roman" w:hAnsi="Times New Roman" w:cs="Times New Roman"/>
        </w:rPr>
      </w:pPr>
    </w:p>
    <w:p w14:paraId="0EBE8449" w14:textId="77777777" w:rsidR="000B2C8D" w:rsidRDefault="000B2C8D" w:rsidP="000B2C8D">
      <w:pPr>
        <w:spacing w:after="0" w:line="240" w:lineRule="auto"/>
        <w:ind w:firstLine="720"/>
        <w:rPr>
          <w:rFonts w:ascii="Times New Roman" w:hAnsi="Times New Roman" w:cs="Times New Roman"/>
          <w:color w:val="000000"/>
        </w:rPr>
      </w:pPr>
      <w:r>
        <w:rPr>
          <w:rFonts w:ascii="Times New Roman" w:hAnsi="Times New Roman" w:cs="Times New Roman"/>
        </w:rPr>
        <w:t>The Department</w:t>
      </w:r>
      <w:r w:rsidRPr="008319BB">
        <w:rPr>
          <w:rFonts w:ascii="Times New Roman" w:hAnsi="Times New Roman" w:cs="Times New Roman"/>
        </w:rPr>
        <w:t xml:space="preserve"> repeatedly attempts to justify its proposed definition by citing</w:t>
      </w:r>
      <w:r w:rsidRPr="008319BB">
        <w:rPr>
          <w:rFonts w:ascii="Times New Roman" w:eastAsia="Times New Roman" w:hAnsi="Times New Roman" w:cs="Times New Roman"/>
          <w:color w:val="000000"/>
        </w:rPr>
        <w:t xml:space="preserve"> “academic freedom and free speech</w:t>
      </w:r>
      <w:r>
        <w:rPr>
          <w:rFonts w:ascii="Times New Roman" w:eastAsia="Times New Roman" w:hAnsi="Times New Roman" w:cs="Times New Roman"/>
          <w:color w:val="000000"/>
        </w:rPr>
        <w:t>.</w:t>
      </w:r>
      <w:r w:rsidRPr="008319BB">
        <w:rPr>
          <w:rFonts w:ascii="Times New Roman" w:eastAsia="Times New Roman" w:hAnsi="Times New Roman" w:cs="Times New Roman"/>
          <w:color w:val="000000"/>
        </w:rPr>
        <w:t>”</w:t>
      </w:r>
      <w:r w:rsidRPr="1627AC4F">
        <w:rPr>
          <w:rStyle w:val="FootnoteReference"/>
          <w:rFonts w:eastAsia="Times New Roman" w:cs="Times New Roman"/>
          <w:color w:val="000000"/>
        </w:rPr>
        <w:footnoteReference w:id="40"/>
      </w:r>
      <w:r w:rsidRPr="008319BB">
        <w:rPr>
          <w:rFonts w:ascii="Times New Roman" w:hAnsi="Times New Roman" w:cs="Times New Roman"/>
          <w:color w:val="000000"/>
        </w:rPr>
        <w:t xml:space="preserve"> </w:t>
      </w:r>
      <w:r w:rsidRPr="008319BB">
        <w:rPr>
          <w:rFonts w:ascii="Times New Roman" w:eastAsia="Times New Roman" w:hAnsi="Times New Roman" w:cs="Times New Roman"/>
          <w:color w:val="000000"/>
        </w:rPr>
        <w:t>But harassment is not protected speech if it creates a “hostile environment,”</w:t>
      </w:r>
      <w:bookmarkStart w:id="13" w:name="_Ref533077744"/>
      <w:r w:rsidRPr="1627AC4F">
        <w:rPr>
          <w:rStyle w:val="FootnoteReference"/>
          <w:rFonts w:eastAsia="Times New Roman" w:cs="Times New Roman"/>
          <w:color w:val="000000"/>
        </w:rPr>
        <w:footnoteReference w:id="41"/>
      </w:r>
      <w:bookmarkEnd w:id="13"/>
      <w:r w:rsidRPr="008319BB">
        <w:rPr>
          <w:rFonts w:ascii="Times New Roman" w:hAnsi="Times New Roman" w:cs="Times New Roman"/>
          <w:color w:val="000000"/>
        </w:rPr>
        <w:t xml:space="preserve"> i.e., if the harassment limits a student’s ability to participate in or benefit from a school program or activity.</w:t>
      </w:r>
      <w:r w:rsidRPr="1627AC4F">
        <w:rPr>
          <w:rStyle w:val="FootnoteReference"/>
          <w:rFonts w:eastAsia="Times New Roman" w:cs="Times New Roman"/>
          <w:color w:val="000000"/>
        </w:rPr>
        <w:footnoteReference w:id="42"/>
      </w:r>
      <w:r w:rsidRPr="008319BB">
        <w:rPr>
          <w:rFonts w:ascii="Times New Roman" w:hAnsi="Times New Roman" w:cs="Times New Roman"/>
          <w:color w:val="000000"/>
        </w:rPr>
        <w:t xml:space="preserve"> And schools have the authority to regulate </w:t>
      </w:r>
      <w:r>
        <w:rPr>
          <w:rFonts w:ascii="Times New Roman" w:hAnsi="Times New Roman" w:cs="Times New Roman"/>
          <w:color w:val="000000"/>
        </w:rPr>
        <w:t>harassing speech</w:t>
      </w:r>
      <w:r w:rsidRPr="008319BB">
        <w:rPr>
          <w:rFonts w:ascii="Times New Roman" w:hAnsi="Times New Roman" w:cs="Times New Roman"/>
          <w:color w:val="000000"/>
        </w:rPr>
        <w:t xml:space="preserve">; the Supreme Court held in </w:t>
      </w:r>
      <w:r w:rsidRPr="1627AC4F">
        <w:rPr>
          <w:rFonts w:ascii="Times New Roman" w:hAnsi="Times New Roman" w:cs="Times New Roman"/>
          <w:i/>
          <w:iCs/>
          <w:color w:val="000000"/>
        </w:rPr>
        <w:t>Tinker v. Des Moines</w:t>
      </w:r>
      <w:r w:rsidRPr="008319BB">
        <w:rPr>
          <w:rFonts w:ascii="Times New Roman" w:hAnsi="Times New Roman" w:cs="Times New Roman"/>
          <w:color w:val="000000"/>
        </w:rPr>
        <w:t xml:space="preserve"> that school officials can regulate student speech if they reasonably forecast “substantial disruption of or material interference with school activities” or </w:t>
      </w:r>
      <w:r>
        <w:rPr>
          <w:rFonts w:ascii="Times New Roman" w:hAnsi="Times New Roman" w:cs="Times New Roman"/>
          <w:color w:val="000000"/>
        </w:rPr>
        <w:t xml:space="preserve">if the speech </w:t>
      </w:r>
      <w:r w:rsidRPr="008319BB">
        <w:rPr>
          <w:rFonts w:ascii="Times New Roman" w:hAnsi="Times New Roman" w:cs="Times New Roman"/>
          <w:color w:val="000000"/>
        </w:rPr>
        <w:t>involves “invasion of the rights of others.”</w:t>
      </w:r>
      <w:r w:rsidRPr="1627AC4F">
        <w:rPr>
          <w:rStyle w:val="FootnoteReference"/>
          <w:rFonts w:eastAsia="Times New Roman" w:cs="Times New Roman"/>
          <w:color w:val="000000"/>
        </w:rPr>
        <w:footnoteReference w:id="43"/>
      </w:r>
      <w:r w:rsidRPr="008319BB">
        <w:rPr>
          <w:rFonts w:ascii="Times New Roman" w:hAnsi="Times New Roman" w:cs="Times New Roman"/>
          <w:color w:val="000000"/>
        </w:rPr>
        <w:t xml:space="preserve"> </w:t>
      </w:r>
      <w:r>
        <w:rPr>
          <w:rFonts w:ascii="Times New Roman" w:hAnsi="Times New Roman" w:cs="Times New Roman"/>
          <w:color w:val="000000"/>
        </w:rPr>
        <w:t>T</w:t>
      </w:r>
      <w:r w:rsidRPr="008319BB">
        <w:rPr>
          <w:rFonts w:ascii="Times New Roman" w:hAnsi="Times New Roman" w:cs="Times New Roman"/>
          <w:color w:val="000000"/>
        </w:rPr>
        <w:t>here is no conflict between Title IX’s regulation of sexually harassing speech in schools and the First Amendment.</w:t>
      </w:r>
    </w:p>
    <w:p w14:paraId="2F6EBBFF" w14:textId="2E3784B4" w:rsidR="000B2C8D" w:rsidRDefault="000B2C8D" w:rsidP="000B2C8D">
      <w:pPr>
        <w:spacing w:after="0" w:line="240" w:lineRule="auto"/>
        <w:rPr>
          <w:rFonts w:ascii="Times New Roman" w:hAnsi="Times New Roman" w:cs="Times New Roman"/>
          <w:color w:val="000000"/>
        </w:rPr>
      </w:pPr>
      <w:r>
        <w:rPr>
          <w:rFonts w:ascii="Times New Roman" w:hAnsi="Times New Roman" w:cs="Times New Roman"/>
          <w:color w:val="000000"/>
        </w:rPr>
        <w:t xml:space="preserve">As the Shriver Center </w:t>
      </w:r>
      <w:hyperlink r:id="rId11" w:history="1">
        <w:r w:rsidRPr="00B97EF2">
          <w:rPr>
            <w:rStyle w:val="Hyperlink"/>
            <w:rFonts w:ascii="Times New Roman" w:hAnsi="Times New Roman" w:cs="Times New Roman"/>
          </w:rPr>
          <w:t>report</w:t>
        </w:r>
      </w:hyperlink>
      <w:r>
        <w:rPr>
          <w:rFonts w:ascii="Times New Roman" w:hAnsi="Times New Roman" w:cs="Times New Roman"/>
          <w:color w:val="000000"/>
        </w:rPr>
        <w:t xml:space="preserve"> shows, in addition to suffering the mental, physical, economic, and social consequences of the gender-based violence, student survivors often experience a decline in their academic performance. Contributing factors include: a decline in school attendance, an inability to focus in class, growing social isolation, feeling scared and unsafe in school, and, in too many cases, simply dropping out.</w:t>
      </w:r>
    </w:p>
    <w:p w14:paraId="22EAB673" w14:textId="77777777" w:rsidR="006D5AFE" w:rsidRDefault="006D5AFE" w:rsidP="000B2C8D">
      <w:pPr>
        <w:spacing w:after="0" w:line="240" w:lineRule="auto"/>
        <w:rPr>
          <w:rFonts w:ascii="Times New Roman" w:hAnsi="Times New Roman" w:cs="Times New Roman"/>
          <w:color w:val="000000"/>
        </w:rPr>
      </w:pPr>
    </w:p>
    <w:p w14:paraId="462EE5DA" w14:textId="77777777" w:rsidR="000B2C8D" w:rsidRPr="000759D0" w:rsidRDefault="000B2C8D" w:rsidP="000B2C8D">
      <w:pPr>
        <w:pStyle w:val="ListParagraph"/>
        <w:numPr>
          <w:ilvl w:val="0"/>
          <w:numId w:val="16"/>
        </w:numPr>
        <w:spacing w:after="0"/>
        <w:rPr>
          <w:rFonts w:ascii="Times New Roman" w:hAnsi="Times New Roman" w:cs="Times New Roman"/>
          <w:b/>
          <w:bCs/>
        </w:rPr>
      </w:pPr>
      <w:r w:rsidRPr="000759D0">
        <w:rPr>
          <w:rFonts w:ascii="Times New Roman" w:hAnsi="Times New Roman" w:cs="Times New Roman"/>
          <w:b/>
          <w:bCs/>
        </w:rPr>
        <w:t xml:space="preserve">Proposed rules §§ 106.30 and 106.45(b)(3) would </w:t>
      </w:r>
      <w:r w:rsidRPr="000759D0">
        <w:rPr>
          <w:rFonts w:ascii="Times New Roman" w:hAnsi="Times New Roman" w:cs="Times New Roman"/>
          <w:b/>
          <w:bCs/>
          <w:i/>
          <w:iCs/>
        </w:rPr>
        <w:t>require</w:t>
      </w:r>
      <w:r w:rsidRPr="000759D0">
        <w:rPr>
          <w:rFonts w:ascii="Times New Roman" w:hAnsi="Times New Roman" w:cs="Times New Roman"/>
          <w:b/>
          <w:bCs/>
        </w:rPr>
        <w:t xml:space="preserve"> schools to ignore harassment that occurs outside of a school activity, even when it creates a hostile educational environment.</w:t>
      </w:r>
    </w:p>
    <w:p w14:paraId="1034A93A" w14:textId="77777777" w:rsidR="000B2C8D" w:rsidRPr="008319BB" w:rsidRDefault="000B2C8D" w:rsidP="000B2C8D">
      <w:pPr>
        <w:spacing w:after="0"/>
        <w:rPr>
          <w:rFonts w:ascii="Times New Roman" w:hAnsi="Times New Roman" w:cs="Times New Roman"/>
          <w:b/>
        </w:rPr>
      </w:pPr>
    </w:p>
    <w:p w14:paraId="4F4CBF0E" w14:textId="77777777" w:rsidR="000B2C8D" w:rsidRPr="008319BB" w:rsidRDefault="000B2C8D" w:rsidP="000B2C8D">
      <w:pPr>
        <w:ind w:firstLine="720"/>
        <w:rPr>
          <w:rFonts w:ascii="Times New Roman" w:hAnsi="Times New Roman" w:cs="Times New Roman"/>
        </w:rPr>
      </w:pPr>
      <w:r w:rsidRPr="008319BB">
        <w:rPr>
          <w:rFonts w:ascii="Times New Roman" w:hAnsi="Times New Roman" w:cs="Times New Roman"/>
        </w:rPr>
        <w:t xml:space="preserve">The proposed rules would </w:t>
      </w:r>
      <w:r w:rsidRPr="008319BB">
        <w:rPr>
          <w:rFonts w:ascii="Times New Roman" w:hAnsi="Times New Roman" w:cs="Times New Roman"/>
          <w:i/>
          <w:iCs/>
        </w:rPr>
        <w:t xml:space="preserve">require </w:t>
      </w:r>
      <w:r w:rsidRPr="008319BB">
        <w:rPr>
          <w:rFonts w:ascii="Times New Roman" w:hAnsi="Times New Roman" w:cs="Times New Roman"/>
        </w:rPr>
        <w:t xml:space="preserve">schools to ignore all complaints of off-campus or online sexual harassment that happen outside of a school-sponsored program—even if the student is forced to see their harasser on campus every day and the harassment directly impacts their education as a result. To understand why it is crucial to maintain Title IX protections for off-campus activity, one only need to look at </w:t>
      </w:r>
      <w:r>
        <w:rPr>
          <w:rFonts w:ascii="Times New Roman" w:hAnsi="Times New Roman" w:cs="Times New Roman"/>
        </w:rPr>
        <w:t>the Department</w:t>
      </w:r>
      <w:r w:rsidRPr="008319BB">
        <w:rPr>
          <w:rFonts w:ascii="Times New Roman" w:hAnsi="Times New Roman" w:cs="Times New Roman"/>
        </w:rPr>
        <w:t xml:space="preserve">’s own recent decision to cut off partial funding to the Chicago Public Schools for failing to address two reports of off-campus sexual assault, which </w:t>
      </w:r>
      <w:r>
        <w:rPr>
          <w:rFonts w:ascii="Times New Roman" w:hAnsi="Times New Roman" w:cs="Times New Roman"/>
        </w:rPr>
        <w:t>the Department</w:t>
      </w:r>
      <w:r w:rsidRPr="008319BB">
        <w:rPr>
          <w:rFonts w:ascii="Times New Roman" w:hAnsi="Times New Roman" w:cs="Times New Roman"/>
        </w:rPr>
        <w:t xml:space="preserve"> described as “serious and pervasive violations under Title IX.”</w:t>
      </w:r>
      <w:r>
        <w:rPr>
          <w:rStyle w:val="FootnoteReference"/>
          <w:rFonts w:cs="Times New Roman"/>
        </w:rPr>
        <w:footnoteReference w:id="44"/>
      </w:r>
      <w:r w:rsidRPr="008319BB">
        <w:rPr>
          <w:rFonts w:ascii="Times New Roman" w:hAnsi="Times New Roman" w:cs="Times New Roman"/>
        </w:rPr>
        <w:t xml:space="preserve"> In one case, a 10</w:t>
      </w:r>
      <w:r w:rsidRPr="008319BB">
        <w:rPr>
          <w:rFonts w:ascii="Times New Roman" w:hAnsi="Times New Roman" w:cs="Times New Roman"/>
          <w:vertAlign w:val="superscript"/>
        </w:rPr>
        <w:t>th</w:t>
      </w:r>
      <w:r w:rsidRPr="008319BB">
        <w:rPr>
          <w:rFonts w:ascii="Times New Roman" w:hAnsi="Times New Roman" w:cs="Times New Roman"/>
        </w:rPr>
        <w:t xml:space="preserve"> grade student was forced to perform oral sex in an abandoned building by a group of 13 boys, 8 of which she recognized from school. In the other case, another 10th grade student was given alcohol and sexually abused by a teacher in his car. If the proposed rule becomes final, school districts would be required to dismiss similarly egregious complaints simply because they occurred off-campus, even if they result in a hostile educational environment.</w:t>
      </w:r>
    </w:p>
    <w:p w14:paraId="4E4A63A3" w14:textId="77777777" w:rsidR="000B2C8D" w:rsidRPr="008319BB" w:rsidRDefault="000B2C8D" w:rsidP="000B2C8D">
      <w:pPr>
        <w:ind w:firstLine="720"/>
        <w:rPr>
          <w:rFonts w:ascii="Times New Roman" w:hAnsi="Times New Roman" w:cs="Times New Roman"/>
        </w:rPr>
      </w:pPr>
      <w:r w:rsidRPr="008319BB">
        <w:rPr>
          <w:rFonts w:ascii="Times New Roman" w:hAnsi="Times New Roman" w:cs="Times New Roman"/>
        </w:rPr>
        <w:t xml:space="preserve">The proposed rule conflicts with Title IX’s statutory language, which does not depend on where the </w:t>
      </w:r>
      <w:r w:rsidRPr="1627AC4F">
        <w:rPr>
          <w:rFonts w:ascii="Times New Roman" w:hAnsi="Times New Roman" w:cs="Times New Roman"/>
          <w:i/>
          <w:iCs/>
        </w:rPr>
        <w:t xml:space="preserve">underlying conduct </w:t>
      </w:r>
      <w:r w:rsidRPr="008319BB">
        <w:rPr>
          <w:rFonts w:ascii="Times New Roman" w:hAnsi="Times New Roman" w:cs="Times New Roman"/>
        </w:rPr>
        <w:t>occurred but instead prohibits discrimination that “exclude[s a person] from participation in, . . . denie[s a person] the benefits of, or</w:t>
      </w:r>
      <w:r>
        <w:rPr>
          <w:rFonts w:ascii="Times New Roman" w:hAnsi="Times New Roman" w:cs="Times New Roman"/>
        </w:rPr>
        <w:t xml:space="preserve"> </w:t>
      </w:r>
      <w:r w:rsidRPr="008319BB">
        <w:rPr>
          <w:rFonts w:ascii="Times New Roman" w:hAnsi="Times New Roman" w:cs="Times New Roman"/>
        </w:rPr>
        <w:t>. . .</w:t>
      </w:r>
      <w:r>
        <w:rPr>
          <w:rFonts w:ascii="Times New Roman" w:hAnsi="Times New Roman" w:cs="Times New Roman"/>
        </w:rPr>
        <w:t xml:space="preserve"> </w:t>
      </w:r>
      <w:r w:rsidRPr="008319BB">
        <w:rPr>
          <w:rFonts w:ascii="Times New Roman" w:hAnsi="Times New Roman" w:cs="Times New Roman"/>
        </w:rPr>
        <w:t>subject[s a person] to discrimination under any education program or activity . . . .”</w:t>
      </w:r>
      <w:r w:rsidRPr="1627AC4F">
        <w:rPr>
          <w:rStyle w:val="FootnoteReference"/>
          <w:rFonts w:cs="Times New Roman"/>
        </w:rPr>
        <w:footnoteReference w:id="45"/>
      </w:r>
      <w:r w:rsidRPr="008319BB">
        <w:rPr>
          <w:rFonts w:ascii="Times New Roman" w:hAnsi="Times New Roman" w:cs="Times New Roman"/>
        </w:rPr>
        <w:t xml:space="preserve"> For almost two decades, </w:t>
      </w:r>
      <w:r>
        <w:rPr>
          <w:rFonts w:ascii="Times New Roman" w:hAnsi="Times New Roman" w:cs="Times New Roman"/>
        </w:rPr>
        <w:t>the Department</w:t>
      </w:r>
      <w:r w:rsidRPr="008319BB">
        <w:rPr>
          <w:rFonts w:ascii="Times New Roman" w:hAnsi="Times New Roman" w:cs="Times New Roman"/>
        </w:rPr>
        <w:t xml:space="preserve">’s guidance documents have agreed that schools are responsible for addressing sexual harassment if it is </w:t>
      </w:r>
      <w:r w:rsidRPr="008319BB">
        <w:rPr>
          <w:rFonts w:ascii="Times New Roman" w:eastAsia="Times New Roman" w:hAnsi="Times New Roman" w:cs="Times New Roman"/>
          <w:color w:val="000000"/>
        </w:rPr>
        <w:t>“sufficiently serious to deny or limit a student’s ability to participate in or benefit from the education program,”</w:t>
      </w:r>
      <w:r w:rsidRPr="1627AC4F">
        <w:rPr>
          <w:rStyle w:val="FootnoteReference"/>
          <w:rFonts w:eastAsia="Times New Roman" w:cs="Times New Roman"/>
          <w:color w:val="000000"/>
        </w:rPr>
        <w:footnoteReference w:id="46"/>
      </w:r>
      <w:r w:rsidRPr="008319BB">
        <w:rPr>
          <w:rFonts w:ascii="Times New Roman" w:eastAsia="Times New Roman" w:hAnsi="Times New Roman" w:cs="Times New Roman"/>
          <w:color w:val="000000"/>
        </w:rPr>
        <w:t xml:space="preserve"> regardless of where it occurs.</w:t>
      </w:r>
      <w:r w:rsidRPr="1627AC4F">
        <w:rPr>
          <w:rStyle w:val="FootnoteReference"/>
          <w:rFonts w:eastAsia="Times New Roman" w:cs="Times New Roman"/>
          <w:color w:val="000000"/>
        </w:rPr>
        <w:footnoteReference w:id="47"/>
      </w:r>
    </w:p>
    <w:p w14:paraId="16DD3F1B" w14:textId="77777777" w:rsidR="000B2C8D" w:rsidRDefault="000B2C8D" w:rsidP="000B2C8D">
      <w:pPr>
        <w:spacing w:after="0" w:line="240" w:lineRule="auto"/>
        <w:ind w:firstLine="720"/>
        <w:contextualSpacing/>
        <w:rPr>
          <w:rFonts w:ascii="Times New Roman" w:hAnsi="Times New Roman" w:cs="Times New Roman"/>
        </w:rPr>
      </w:pPr>
      <w:r>
        <w:rPr>
          <w:rFonts w:ascii="Times New Roman" w:hAnsi="Times New Roman" w:cs="Times New Roman"/>
        </w:rPr>
        <w:t>The Department</w:t>
      </w:r>
      <w:r w:rsidRPr="008319BB">
        <w:rPr>
          <w:rFonts w:ascii="Times New Roman" w:hAnsi="Times New Roman" w:cs="Times New Roman"/>
        </w:rPr>
        <w:t>’s proposed rules ignore the reality that sexual harassment that happens off campus and outside of a school activity is no less traumatic than on-campus harassment.</w:t>
      </w:r>
      <w:r w:rsidRPr="1627AC4F">
        <w:rPr>
          <w:rStyle w:val="FootnoteReference"/>
          <w:rFonts w:cs="Times New Roman"/>
        </w:rPr>
        <w:footnoteReference w:id="48"/>
      </w:r>
      <w:r w:rsidRPr="008319BB">
        <w:rPr>
          <w:rFonts w:ascii="Times New Roman" w:hAnsi="Times New Roman" w:cs="Times New Roman"/>
        </w:rPr>
        <w:t xml:space="preserve"> The negative impact on the student’s education is </w:t>
      </w:r>
      <w:r>
        <w:rPr>
          <w:rFonts w:ascii="Times New Roman" w:hAnsi="Times New Roman" w:cs="Times New Roman"/>
        </w:rPr>
        <w:t>typically the same</w:t>
      </w:r>
      <w:r w:rsidRPr="008319BB">
        <w:rPr>
          <w:rFonts w:ascii="Times New Roman" w:hAnsi="Times New Roman" w:cs="Times New Roman"/>
        </w:rPr>
        <w:t xml:space="preserve"> if they are forced to see their harasser regularly at school</w:t>
      </w:r>
      <w:r>
        <w:rPr>
          <w:rFonts w:ascii="Times New Roman" w:hAnsi="Times New Roman" w:cs="Times New Roman"/>
        </w:rPr>
        <w:t>. If a middle school student is being sexually harassed by her classmates on Instagram or Snapchat outside of school, or on the way to or from school in a private carpool, her school would be forbidden from doing anything—even if she’s too afraid to show up to class and face her harassers anymore. This ignores the reality of where and when the violence occurs, and its impact on survivors, regardless of where or when the violence occurs.</w:t>
      </w:r>
    </w:p>
    <w:p w14:paraId="40CAAEF3" w14:textId="77777777" w:rsidR="000B2C8D" w:rsidRPr="00FA6DD8" w:rsidRDefault="000B2C8D" w:rsidP="000B2C8D">
      <w:pPr>
        <w:spacing w:after="0"/>
        <w:rPr>
          <w:rFonts w:ascii="Times New Roman" w:hAnsi="Times New Roman" w:cs="Times New Roman"/>
          <w:b/>
          <w:bCs/>
        </w:rPr>
      </w:pPr>
    </w:p>
    <w:p w14:paraId="3AA66656" w14:textId="77777777" w:rsidR="000B2C8D" w:rsidRPr="008319BB" w:rsidRDefault="000B2C8D" w:rsidP="000B2C8D">
      <w:pPr>
        <w:pStyle w:val="ListParagraph"/>
        <w:numPr>
          <w:ilvl w:val="0"/>
          <w:numId w:val="16"/>
        </w:numPr>
        <w:spacing w:after="0"/>
        <w:rPr>
          <w:rFonts w:ascii="Times New Roman" w:hAnsi="Times New Roman" w:cs="Times New Roman"/>
          <w:b/>
          <w:bCs/>
        </w:rPr>
      </w:pPr>
      <w:r>
        <w:rPr>
          <w:rFonts w:ascii="Times New Roman" w:hAnsi="Times New Roman" w:cs="Times New Roman"/>
          <w:b/>
          <w:bCs/>
        </w:rPr>
        <w:t>The Department</w:t>
      </w:r>
      <w:r w:rsidRPr="008319BB">
        <w:rPr>
          <w:rFonts w:ascii="Times New Roman" w:hAnsi="Times New Roman" w:cs="Times New Roman"/>
          <w:b/>
          <w:bCs/>
        </w:rPr>
        <w:t xml:space="preserve">’s proposed “deliberate indifference” standard would allow schools to do virtually nothing in response to complaints of sexual harassment and assault. </w:t>
      </w:r>
    </w:p>
    <w:p w14:paraId="1CB0C4B7" w14:textId="77777777" w:rsidR="000B2C8D" w:rsidRPr="008319BB" w:rsidRDefault="000B2C8D" w:rsidP="000B2C8D">
      <w:pPr>
        <w:spacing w:after="0"/>
        <w:rPr>
          <w:rFonts w:ascii="Times New Roman" w:hAnsi="Times New Roman" w:cs="Times New Roman"/>
          <w:b/>
        </w:rPr>
      </w:pPr>
    </w:p>
    <w:p w14:paraId="4477614B" w14:textId="77777777" w:rsidR="000B2C8D" w:rsidRDefault="000B2C8D" w:rsidP="000B2C8D">
      <w:pPr>
        <w:spacing w:after="0" w:line="240" w:lineRule="auto"/>
        <w:ind w:firstLine="720"/>
        <w:rPr>
          <w:rFonts w:ascii="Times New Roman" w:hAnsi="Times New Roman" w:cs="Times New Roman"/>
        </w:rPr>
      </w:pPr>
      <w:r w:rsidRPr="008319BB">
        <w:rPr>
          <w:rFonts w:ascii="Times New Roman" w:hAnsi="Times New Roman" w:cs="Times New Roman"/>
        </w:rPr>
        <w:t xml:space="preserve">The “deliberate indifference” standard adopted by the proposed rules is a much lower standard than </w:t>
      </w:r>
      <w:r>
        <w:rPr>
          <w:rFonts w:ascii="Times New Roman" w:hAnsi="Times New Roman" w:cs="Times New Roman"/>
        </w:rPr>
        <w:t>that</w:t>
      </w:r>
      <w:r w:rsidRPr="008319BB">
        <w:rPr>
          <w:rFonts w:ascii="Times New Roman" w:hAnsi="Times New Roman" w:cs="Times New Roman"/>
        </w:rPr>
        <w:t xml:space="preserve"> currently required of schools under </w:t>
      </w:r>
      <w:r>
        <w:rPr>
          <w:rFonts w:ascii="Times New Roman" w:hAnsi="Times New Roman" w:cs="Times New Roman"/>
        </w:rPr>
        <w:t xml:space="preserve">current </w:t>
      </w:r>
      <w:r w:rsidRPr="008319BB">
        <w:rPr>
          <w:rFonts w:ascii="Times New Roman" w:hAnsi="Times New Roman" w:cs="Times New Roman"/>
        </w:rPr>
        <w:t>guidance</w:t>
      </w:r>
      <w:r>
        <w:rPr>
          <w:rFonts w:ascii="Times New Roman" w:hAnsi="Times New Roman" w:cs="Times New Roman"/>
        </w:rPr>
        <w:t>, which</w:t>
      </w:r>
      <w:r w:rsidRPr="008319BB">
        <w:rPr>
          <w:rFonts w:ascii="Times New Roman" w:hAnsi="Times New Roman" w:cs="Times New Roman"/>
        </w:rPr>
        <w:t xml:space="preserve"> requires schools to act “reasonably” and “take immediate and effective corrective action” to resolve</w:t>
      </w:r>
      <w:r>
        <w:rPr>
          <w:rFonts w:ascii="Times New Roman" w:hAnsi="Times New Roman" w:cs="Times New Roman"/>
        </w:rPr>
        <w:t xml:space="preserve"> harassment</w:t>
      </w:r>
      <w:r w:rsidRPr="008319BB">
        <w:rPr>
          <w:rFonts w:ascii="Times New Roman" w:hAnsi="Times New Roman" w:cs="Times New Roman"/>
        </w:rPr>
        <w:t xml:space="preserve"> complaints.</w:t>
      </w:r>
      <w:r>
        <w:rPr>
          <w:rStyle w:val="FootnoteReference"/>
          <w:rFonts w:cs="Times New Roman"/>
        </w:rPr>
        <w:footnoteReference w:id="49"/>
      </w:r>
      <w:r w:rsidRPr="008319BB">
        <w:rPr>
          <w:rFonts w:ascii="Times New Roman" w:hAnsi="Times New Roman" w:cs="Times New Roman"/>
        </w:rPr>
        <w:t xml:space="preserve"> Under the proposed rules, by contrast, schools would simply have to not be deliberately indifferent—which means that </w:t>
      </w:r>
      <w:r>
        <w:rPr>
          <w:rFonts w:ascii="Times New Roman" w:hAnsi="Times New Roman" w:cs="Times New Roman"/>
        </w:rPr>
        <w:t>their response to harassment would be deemed to comply with Title IX as long as it was not</w:t>
      </w:r>
      <w:r w:rsidRPr="008319BB">
        <w:rPr>
          <w:rFonts w:ascii="Times New Roman" w:hAnsi="Times New Roman" w:cs="Times New Roman"/>
        </w:rPr>
        <w:t xml:space="preserve"> </w:t>
      </w:r>
      <w:r w:rsidRPr="008319BB">
        <w:rPr>
          <w:rFonts w:ascii="Times New Roman" w:hAnsi="Times New Roman" w:cs="Times New Roman"/>
          <w:i/>
          <w:iCs/>
        </w:rPr>
        <w:t xml:space="preserve">clearly </w:t>
      </w:r>
      <w:r w:rsidRPr="00EE6A6C">
        <w:rPr>
          <w:rFonts w:ascii="Times New Roman" w:hAnsi="Times New Roman" w:cs="Times New Roman"/>
        </w:rPr>
        <w:t>unreasonable</w:t>
      </w:r>
      <w:r w:rsidRPr="008319BB">
        <w:rPr>
          <w:rFonts w:ascii="Times New Roman" w:hAnsi="Times New Roman" w:cs="Times New Roman"/>
        </w:rPr>
        <w:t>. As long as a school follows various procedural requirements</w:t>
      </w:r>
      <w:r>
        <w:rPr>
          <w:rFonts w:ascii="Times New Roman" w:hAnsi="Times New Roman" w:cs="Times New Roman"/>
        </w:rPr>
        <w:t xml:space="preserve"> set out in the proposed rules</w:t>
      </w:r>
      <w:r w:rsidRPr="008319BB">
        <w:rPr>
          <w:rFonts w:ascii="Times New Roman" w:hAnsi="Times New Roman" w:cs="Times New Roman"/>
        </w:rPr>
        <w:t xml:space="preserve">, the school’s response to harassment complaints could not be challenged. The practical effects of this proposed rule would </w:t>
      </w:r>
      <w:r>
        <w:rPr>
          <w:rFonts w:ascii="Times New Roman" w:hAnsi="Times New Roman" w:cs="Times New Roman"/>
        </w:rPr>
        <w:t>shield schools from any accountability under Title IX</w:t>
      </w:r>
      <w:r w:rsidRPr="008319BB">
        <w:rPr>
          <w:rFonts w:ascii="Times New Roman" w:hAnsi="Times New Roman" w:cs="Times New Roman"/>
        </w:rPr>
        <w:t xml:space="preserve">, even if a school mishandles a complaint, fails to provide effective supports for survivors, and wrongly determines </w:t>
      </w:r>
      <w:r>
        <w:rPr>
          <w:rFonts w:ascii="Times New Roman" w:hAnsi="Times New Roman" w:cs="Times New Roman"/>
        </w:rPr>
        <w:t xml:space="preserve">against the weight of the evidence </w:t>
      </w:r>
      <w:r w:rsidRPr="008319BB">
        <w:rPr>
          <w:rFonts w:ascii="Times New Roman" w:hAnsi="Times New Roman" w:cs="Times New Roman"/>
        </w:rPr>
        <w:t xml:space="preserve">that an accused harasser was not responsible for sexual assault. </w:t>
      </w:r>
      <w:r>
        <w:rPr>
          <w:rFonts w:ascii="Times New Roman" w:hAnsi="Times New Roman" w:cs="Times New Roman"/>
        </w:rPr>
        <w:t xml:space="preserve">No matter the standard used, it does not change the fact that the violence occurred and that a survivor is suffering. When schools do nothing in response, the accused harasser is free to harass again without consequence. </w:t>
      </w:r>
    </w:p>
    <w:p w14:paraId="32DC58A8" w14:textId="77777777" w:rsidR="000B2C8D" w:rsidRDefault="000B2C8D" w:rsidP="000B2C8D">
      <w:pPr>
        <w:spacing w:after="0" w:line="240" w:lineRule="auto"/>
        <w:ind w:firstLine="720"/>
        <w:rPr>
          <w:rFonts w:ascii="Times New Roman" w:hAnsi="Times New Roman" w:cs="Times New Roman"/>
        </w:rPr>
      </w:pPr>
    </w:p>
    <w:p w14:paraId="4A41F9C6" w14:textId="77777777" w:rsidR="000B2C8D" w:rsidRPr="00BF1CF4" w:rsidRDefault="000B2C8D" w:rsidP="000B2C8D">
      <w:pPr>
        <w:pStyle w:val="ListParagraph"/>
        <w:numPr>
          <w:ilvl w:val="0"/>
          <w:numId w:val="27"/>
        </w:numPr>
        <w:spacing w:after="0" w:line="240" w:lineRule="auto"/>
        <w:rPr>
          <w:rFonts w:ascii="Times New Roman" w:hAnsi="Times New Roman" w:cs="Times New Roman"/>
          <w:b/>
          <w:bCs/>
        </w:rPr>
      </w:pPr>
      <w:r w:rsidRPr="00BF1CF4">
        <w:rPr>
          <w:rFonts w:ascii="Times New Roman" w:hAnsi="Times New Roman" w:cs="Times New Roman"/>
          <w:b/>
          <w:bCs/>
        </w:rPr>
        <w:t>The proposed rules impermissibly limit the “supportive measures” available to complainants (§ 106.30).</w:t>
      </w:r>
    </w:p>
    <w:p w14:paraId="60180B7A" w14:textId="77777777" w:rsidR="000B2C8D" w:rsidRPr="008319BB" w:rsidRDefault="000B2C8D" w:rsidP="000B2C8D">
      <w:pPr>
        <w:spacing w:after="0"/>
        <w:rPr>
          <w:rFonts w:ascii="Times New Roman" w:hAnsi="Times New Roman" w:cs="Times New Roman"/>
          <w:b/>
        </w:rPr>
      </w:pPr>
    </w:p>
    <w:p w14:paraId="157D2C67" w14:textId="77777777" w:rsidR="000B2C8D" w:rsidRDefault="000B2C8D" w:rsidP="000B2C8D">
      <w:pPr>
        <w:spacing w:after="0" w:line="240" w:lineRule="auto"/>
        <w:ind w:firstLine="720"/>
        <w:rPr>
          <w:rFonts w:ascii="Times New Roman" w:hAnsi="Times New Roman" w:cs="Times New Roman"/>
        </w:rPr>
      </w:pPr>
      <w:r w:rsidRPr="008319BB">
        <w:rPr>
          <w:rFonts w:ascii="Times New Roman" w:hAnsi="Times New Roman" w:cs="Times New Roman"/>
        </w:rPr>
        <w:t xml:space="preserve">Under the proposed rules, even if a student suffered harassment that occurred on campus and it was “severe, pervasive, </w:t>
      </w:r>
      <w:r w:rsidRPr="1627AC4F">
        <w:rPr>
          <w:rFonts w:ascii="Times New Roman" w:hAnsi="Times New Roman" w:cs="Times New Roman"/>
          <w:i/>
          <w:iCs/>
        </w:rPr>
        <w:t>and</w:t>
      </w:r>
      <w:r w:rsidRPr="008319BB">
        <w:rPr>
          <w:rFonts w:ascii="Times New Roman" w:hAnsi="Times New Roman" w:cs="Times New Roman"/>
        </w:rPr>
        <w:t xml:space="preserve"> objectively offensive,” their school would still be able to deny the</w:t>
      </w:r>
      <w:r>
        <w:rPr>
          <w:rFonts w:ascii="Times New Roman" w:hAnsi="Times New Roman" w:cs="Times New Roman"/>
        </w:rPr>
        <w:t xml:space="preserve"> student</w:t>
      </w:r>
      <w:r w:rsidRPr="008319BB">
        <w:rPr>
          <w:rFonts w:ascii="Times New Roman" w:hAnsi="Times New Roman" w:cs="Times New Roman"/>
        </w:rPr>
        <w:t xml:space="preserve"> the “supportive measures” they need to stay in school. In particular, the proposed rules allow schools to deny a student’s request for effective “supportive measures” on the grounds that the requested measures are “disciplinary,” “punitive,” or “unreasonably burden[] the other party.” For example, a school might feel constrained from transferring a named harasser to another class or dorm because it would “unreasonably burden” him, thereby forcing a survivor to change all of her own class and housing assignments in order to avoid her harasser.</w:t>
      </w:r>
      <w:r w:rsidRPr="1627AC4F">
        <w:rPr>
          <w:rFonts w:ascii="Times New Roman" w:hAnsi="Times New Roman" w:cs="Times New Roman"/>
          <w:b/>
          <w:bCs/>
        </w:rPr>
        <w:t xml:space="preserve"> </w:t>
      </w:r>
      <w:r w:rsidRPr="008319BB">
        <w:rPr>
          <w:rFonts w:ascii="Times New Roman" w:hAnsi="Times New Roman" w:cs="Times New Roman"/>
        </w:rPr>
        <w:t xml:space="preserve">In addition, </w:t>
      </w:r>
      <w:r>
        <w:rPr>
          <w:rFonts w:ascii="Times New Roman" w:hAnsi="Times New Roman" w:cs="Times New Roman"/>
        </w:rPr>
        <w:t>schools may interpret this propose rule to prohibit issuing</w:t>
      </w:r>
      <w:r w:rsidRPr="008319BB">
        <w:rPr>
          <w:rFonts w:ascii="Times New Roman" w:hAnsi="Times New Roman" w:cs="Times New Roman"/>
        </w:rPr>
        <w:t xml:space="preserve"> a </w:t>
      </w:r>
      <w:r w:rsidRPr="1627AC4F">
        <w:rPr>
          <w:rFonts w:ascii="Times New Roman" w:hAnsi="Times New Roman" w:cs="Times New Roman"/>
          <w:i/>
          <w:iCs/>
        </w:rPr>
        <w:t>one-way</w:t>
      </w:r>
      <w:r w:rsidRPr="008319BB">
        <w:rPr>
          <w:rFonts w:ascii="Times New Roman" w:hAnsi="Times New Roman" w:cs="Times New Roman"/>
        </w:rPr>
        <w:t xml:space="preserve"> no-contact order against </w:t>
      </w:r>
      <w:r>
        <w:rPr>
          <w:rFonts w:ascii="Times New Roman" w:hAnsi="Times New Roman" w:cs="Times New Roman"/>
        </w:rPr>
        <w:t>an</w:t>
      </w:r>
      <w:r w:rsidRPr="008319BB">
        <w:rPr>
          <w:rFonts w:ascii="Times New Roman" w:hAnsi="Times New Roman" w:cs="Times New Roman"/>
        </w:rPr>
        <w:t xml:space="preserve"> assailant</w:t>
      </w:r>
      <w:r>
        <w:rPr>
          <w:rFonts w:ascii="Times New Roman" w:hAnsi="Times New Roman" w:cs="Times New Roman"/>
        </w:rPr>
        <w:t xml:space="preserve"> and require</w:t>
      </w:r>
      <w:r w:rsidRPr="008319BB">
        <w:rPr>
          <w:rFonts w:ascii="Times New Roman" w:hAnsi="Times New Roman" w:cs="Times New Roman"/>
        </w:rPr>
        <w:t xml:space="preserve"> </w:t>
      </w:r>
      <w:r>
        <w:rPr>
          <w:rFonts w:ascii="Times New Roman" w:hAnsi="Times New Roman" w:cs="Times New Roman"/>
        </w:rPr>
        <w:t xml:space="preserve">a </w:t>
      </w:r>
      <w:r w:rsidRPr="008319BB">
        <w:rPr>
          <w:rFonts w:ascii="Times New Roman" w:hAnsi="Times New Roman" w:cs="Times New Roman"/>
        </w:rPr>
        <w:t xml:space="preserve">survivor to agree to a </w:t>
      </w:r>
      <w:r w:rsidRPr="1627AC4F">
        <w:rPr>
          <w:rFonts w:ascii="Times New Roman" w:hAnsi="Times New Roman" w:cs="Times New Roman"/>
          <w:i/>
          <w:iCs/>
        </w:rPr>
        <w:t>mutual</w:t>
      </w:r>
      <w:r w:rsidRPr="008319BB">
        <w:rPr>
          <w:rFonts w:ascii="Times New Roman" w:hAnsi="Times New Roman" w:cs="Times New Roman"/>
        </w:rPr>
        <w:t xml:space="preserve"> no-contact order, which implies that the survivor is at least partially responsible for their own assault</w:t>
      </w:r>
      <w:r w:rsidRPr="008319BB">
        <w:rPr>
          <w:rFonts w:ascii="Times New Roman" w:hAnsi="Times New Roman" w:cs="Times New Roman"/>
          <w:color w:val="000000"/>
        </w:rPr>
        <w:t>.</w:t>
      </w:r>
      <w:r w:rsidRPr="1627AC4F">
        <w:rPr>
          <w:rStyle w:val="FootnoteReference"/>
          <w:rFonts w:eastAsia="Times New Roman" w:cs="Times New Roman"/>
          <w:color w:val="000000"/>
        </w:rPr>
        <w:footnoteReference w:id="50"/>
      </w:r>
      <w:r w:rsidRPr="008319BB">
        <w:rPr>
          <w:rFonts w:ascii="Times New Roman" w:hAnsi="Times New Roman" w:cs="Times New Roman"/>
          <w:color w:val="000000"/>
        </w:rPr>
        <w:t xml:space="preserve"> </w:t>
      </w:r>
      <w:r>
        <w:rPr>
          <w:rFonts w:ascii="Times New Roman" w:hAnsi="Times New Roman" w:cs="Times New Roman"/>
          <w:color w:val="000000"/>
        </w:rPr>
        <w:t>This is a departure from longstanding practice under the</w:t>
      </w:r>
      <w:r w:rsidRPr="008319BB">
        <w:rPr>
          <w:rFonts w:ascii="Times New Roman" w:hAnsi="Times New Roman" w:cs="Times New Roman"/>
          <w:color w:val="000000"/>
        </w:rPr>
        <w:t xml:space="preserve"> 2001 Guidance</w:t>
      </w:r>
      <w:r>
        <w:rPr>
          <w:rFonts w:ascii="Times New Roman" w:hAnsi="Times New Roman" w:cs="Times New Roman"/>
          <w:color w:val="000000"/>
        </w:rPr>
        <w:t>, which</w:t>
      </w:r>
      <w:r w:rsidRPr="008319BB">
        <w:rPr>
          <w:rFonts w:ascii="Times New Roman" w:hAnsi="Times New Roman" w:cs="Times New Roman"/>
          <w:color w:val="000000"/>
        </w:rPr>
        <w:t xml:space="preserve"> instructed schools to “</w:t>
      </w:r>
      <w:r w:rsidRPr="008319BB">
        <w:rPr>
          <w:rFonts w:ascii="Times New Roman" w:hAnsi="Times New Roman" w:cs="Times New Roman"/>
        </w:rPr>
        <w:t xml:space="preserve">direct[] </w:t>
      </w:r>
      <w:r w:rsidRPr="1627AC4F">
        <w:rPr>
          <w:rFonts w:ascii="Times New Roman" w:hAnsi="Times New Roman" w:cs="Times New Roman"/>
          <w:i/>
          <w:iCs/>
        </w:rPr>
        <w:t>the harasser to have no further contact with the harassed student</w:t>
      </w:r>
      <w:r w:rsidRPr="008319BB">
        <w:rPr>
          <w:rFonts w:ascii="Times New Roman" w:hAnsi="Times New Roman" w:cs="Times New Roman"/>
        </w:rPr>
        <w:t>” but not vice-versa.</w:t>
      </w:r>
      <w:r w:rsidRPr="1627AC4F">
        <w:rPr>
          <w:rStyle w:val="FootnoteReference"/>
          <w:rFonts w:cs="Times New Roman"/>
        </w:rPr>
        <w:footnoteReference w:id="51"/>
      </w:r>
      <w:r w:rsidRPr="008319BB">
        <w:rPr>
          <w:rFonts w:ascii="Times New Roman" w:hAnsi="Times New Roman" w:cs="Times New Roman"/>
          <w:color w:val="000000"/>
        </w:rPr>
        <w:t xml:space="preserve"> And groups such as the </w:t>
      </w:r>
      <w:r w:rsidRPr="008319BB">
        <w:rPr>
          <w:rFonts w:ascii="Times New Roman" w:hAnsi="Times New Roman" w:cs="Times New Roman"/>
        </w:rPr>
        <w:t xml:space="preserve">Association for Student Conduct Administration (ASCA) agrees that “[e]ffective interim measures, including … </w:t>
      </w:r>
      <w:r w:rsidRPr="1627AC4F">
        <w:rPr>
          <w:rFonts w:ascii="Times New Roman" w:hAnsi="Times New Roman" w:cs="Times New Roman"/>
          <w:i/>
          <w:iCs/>
        </w:rPr>
        <w:t>actions restricting the accused</w:t>
      </w:r>
      <w:r w:rsidRPr="008319BB">
        <w:rPr>
          <w:rFonts w:ascii="Times New Roman" w:hAnsi="Times New Roman" w:cs="Times New Roman"/>
        </w:rPr>
        <w:t>, should be offered and used while cases are being resolved, as well as without a formal complaint.”</w:t>
      </w:r>
      <w:bookmarkStart w:id="14" w:name="_Ref533077789"/>
      <w:r w:rsidRPr="1627AC4F">
        <w:rPr>
          <w:rStyle w:val="FootnoteReference"/>
          <w:rFonts w:cs="Times New Roman"/>
        </w:rPr>
        <w:footnoteReference w:id="52"/>
      </w:r>
      <w:bookmarkEnd w:id="14"/>
      <w:r w:rsidRPr="008319BB">
        <w:rPr>
          <w:rFonts w:ascii="Times New Roman" w:hAnsi="Times New Roman" w:cs="Times New Roman"/>
        </w:rPr>
        <w:t xml:space="preserve"> </w:t>
      </w:r>
      <w:r>
        <w:rPr>
          <w:rFonts w:ascii="Times New Roman" w:hAnsi="Times New Roman" w:cs="Times New Roman"/>
        </w:rPr>
        <w:t>Survivors already carry the burden for the sexual harassment they have suffered, schools must be allowed to transfer some of that burden to the accused.</w:t>
      </w:r>
    </w:p>
    <w:p w14:paraId="7E1D202A" w14:textId="77777777" w:rsidR="000B2C8D" w:rsidRPr="00E343F7" w:rsidRDefault="000B2C8D" w:rsidP="000B2C8D">
      <w:pPr>
        <w:spacing w:after="0" w:line="240" w:lineRule="auto"/>
        <w:rPr>
          <w:rFonts w:ascii="Times New Roman" w:hAnsi="Times New Roman" w:cs="Times New Roman"/>
          <w:b/>
          <w:highlight w:val="yellow"/>
        </w:rPr>
      </w:pPr>
    </w:p>
    <w:p w14:paraId="3E67E6AA" w14:textId="77777777" w:rsidR="000B2C8D" w:rsidRPr="0050653C" w:rsidRDefault="000B2C8D" w:rsidP="000B2C8D">
      <w:pPr>
        <w:pStyle w:val="ListParagraph"/>
        <w:numPr>
          <w:ilvl w:val="0"/>
          <w:numId w:val="27"/>
        </w:numPr>
        <w:spacing w:after="0" w:line="240" w:lineRule="auto"/>
        <w:rPr>
          <w:rFonts w:ascii="Times New Roman" w:hAnsi="Times New Roman" w:cs="Times New Roman"/>
        </w:rPr>
      </w:pPr>
      <w:r w:rsidRPr="0050653C">
        <w:rPr>
          <w:rFonts w:ascii="Times New Roman" w:hAnsi="Times New Roman" w:cs="Times New Roman"/>
          <w:b/>
          <w:bCs/>
        </w:rPr>
        <w:t xml:space="preserve">The proposed rules would allow schools to claim “religious” exemptions for violating Title IX with no warning to students or prior notification to the Department. </w:t>
      </w:r>
    </w:p>
    <w:p w14:paraId="77B4F163" w14:textId="1E653AB9" w:rsidR="000B2C8D" w:rsidRPr="008319BB" w:rsidRDefault="000B2C8D" w:rsidP="00CA74A5">
      <w:pPr>
        <w:spacing w:after="0"/>
        <w:rPr>
          <w:rFonts w:ascii="Times New Roman" w:hAnsi="Times New Roman" w:cs="Times New Roman"/>
          <w:color w:val="000000" w:themeColor="text1"/>
        </w:rPr>
      </w:pPr>
      <w:r w:rsidRPr="008319BB">
        <w:rPr>
          <w:rFonts w:ascii="Times New Roman" w:hAnsi="Times New Roman" w:cs="Times New Roman"/>
          <w:b/>
          <w:bCs/>
        </w:rPr>
        <w:t xml:space="preserve"> </w:t>
      </w:r>
      <w:r w:rsidR="00CA74A5">
        <w:rPr>
          <w:rFonts w:ascii="Times New Roman" w:hAnsi="Times New Roman" w:cs="Times New Roman"/>
          <w:b/>
          <w:bCs/>
        </w:rPr>
        <w:tab/>
      </w:r>
      <w:r w:rsidRPr="008319BB">
        <w:rPr>
          <w:rFonts w:ascii="Times New Roman" w:hAnsi="Times New Roman" w:cs="Times New Roman"/>
          <w:color w:val="000000"/>
        </w:rPr>
        <w:t xml:space="preserve">The current rules allow religious schools to claim religious </w:t>
      </w:r>
      <w:r w:rsidRPr="008319BB">
        <w:rPr>
          <w:rFonts w:ascii="Times New Roman" w:eastAsia="Times New Roman" w:hAnsi="Times New Roman" w:cs="Times New Roman"/>
          <w:color w:val="000000"/>
        </w:rPr>
        <w:t>exemptions by notifying the Department in writing and identifying which Title IX provisions conflict with their religious beliefs. The proposed rules remove that requirement and permit schools to opt out of Title IX without notice or warning to the Department or students. This would allow</w:t>
      </w:r>
      <w:r w:rsidRPr="008319BB">
        <w:rPr>
          <w:rFonts w:ascii="Times New Roman" w:hAnsi="Times New Roman" w:cs="Times New Roman"/>
          <w:color w:val="000000"/>
        </w:rPr>
        <w:t xml:space="preserve"> schools </w:t>
      </w:r>
      <w:r w:rsidRPr="008319BB">
        <w:rPr>
          <w:rFonts w:ascii="Times New Roman" w:eastAsia="Times New Roman" w:hAnsi="Times New Roman" w:cs="Times New Roman"/>
          <w:color w:val="000000"/>
        </w:rPr>
        <w:t>to conceal</w:t>
      </w:r>
      <w:r w:rsidRPr="008319BB">
        <w:rPr>
          <w:rFonts w:ascii="Times New Roman" w:hAnsi="Times New Roman" w:cs="Times New Roman"/>
          <w:color w:val="000000"/>
        </w:rPr>
        <w:t xml:space="preserve"> their </w:t>
      </w:r>
      <w:r>
        <w:rPr>
          <w:rFonts w:ascii="Times New Roman" w:hAnsi="Times New Roman" w:cs="Times New Roman"/>
          <w:color w:val="000000"/>
        </w:rPr>
        <w:t>intent</w:t>
      </w:r>
      <w:r w:rsidRPr="008319BB">
        <w:rPr>
          <w:rFonts w:ascii="Times New Roman" w:hAnsi="Times New Roman" w:cs="Times New Roman"/>
          <w:color w:val="000000"/>
        </w:rPr>
        <w:t xml:space="preserve"> to discriminate</w:t>
      </w:r>
      <w:r>
        <w:rPr>
          <w:rFonts w:ascii="Times New Roman" w:hAnsi="Times New Roman" w:cs="Times New Roman"/>
          <w:color w:val="000000"/>
        </w:rPr>
        <w:t xml:space="preserve">, exposing students to harm, </w:t>
      </w:r>
      <w:r w:rsidRPr="008319BB">
        <w:rPr>
          <w:rFonts w:ascii="Times New Roman" w:hAnsi="Times New Roman" w:cs="Times New Roman"/>
          <w:color w:val="000000"/>
        </w:rPr>
        <w:t>especially women</w:t>
      </w:r>
      <w:r w:rsidRPr="008319BB">
        <w:rPr>
          <w:rFonts w:ascii="Times New Roman" w:eastAsia="Times New Roman" w:hAnsi="Times New Roman" w:cs="Times New Roman"/>
          <w:color w:val="000000"/>
        </w:rPr>
        <w:t xml:space="preserve"> and girls</w:t>
      </w:r>
      <w:r w:rsidRPr="008319BB">
        <w:rPr>
          <w:rFonts w:ascii="Times New Roman" w:hAnsi="Times New Roman" w:cs="Times New Roman"/>
          <w:color w:val="000000"/>
        </w:rPr>
        <w:t>, LGBTQ students, pregnant or parenting students (including those who are unmarried), and students who access or attempt to access birth control or abortion.</w:t>
      </w:r>
      <w:r w:rsidRPr="1627AC4F">
        <w:rPr>
          <w:rStyle w:val="FootnoteReference"/>
          <w:rFonts w:eastAsia="Times New Roman" w:cs="Times New Roman"/>
          <w:color w:val="000000"/>
        </w:rPr>
        <w:footnoteReference w:id="53"/>
      </w:r>
    </w:p>
    <w:p w14:paraId="739D61D1" w14:textId="77777777" w:rsidR="000B2C8D" w:rsidRPr="008319BB" w:rsidRDefault="000B2C8D" w:rsidP="000B2C8D">
      <w:pPr>
        <w:spacing w:after="0" w:line="240" w:lineRule="auto"/>
        <w:ind w:firstLine="360"/>
        <w:textAlignment w:val="baseline"/>
        <w:rPr>
          <w:rFonts w:ascii="Times New Roman" w:hAnsi="Times New Roman" w:cs="Times New Roman"/>
          <w:color w:val="000000"/>
        </w:rPr>
      </w:pPr>
    </w:p>
    <w:p w14:paraId="77BE7CB1" w14:textId="77777777" w:rsidR="000B2C8D" w:rsidRPr="008319BB" w:rsidRDefault="000B2C8D" w:rsidP="000B2C8D">
      <w:pPr>
        <w:spacing w:after="0" w:line="240" w:lineRule="auto"/>
        <w:ind w:firstLine="720"/>
        <w:textAlignment w:val="baseline"/>
        <w:rPr>
          <w:rFonts w:ascii="Times New Roman" w:hAnsi="Times New Roman" w:cs="Times New Roman"/>
          <w:color w:val="000000" w:themeColor="text1"/>
        </w:rPr>
      </w:pPr>
      <w:r w:rsidRPr="008319BB">
        <w:rPr>
          <w:rFonts w:ascii="Times New Roman" w:hAnsi="Times New Roman" w:cs="Times New Roman"/>
          <w:color w:val="000000"/>
        </w:rPr>
        <w:t xml:space="preserve">Further, </w:t>
      </w:r>
      <w:r>
        <w:rPr>
          <w:rFonts w:ascii="Times New Roman" w:hAnsi="Times New Roman" w:cs="Times New Roman"/>
          <w:color w:val="000000"/>
        </w:rPr>
        <w:t>the Department</w:t>
      </w:r>
      <w:r w:rsidRPr="008319BB">
        <w:rPr>
          <w:rFonts w:ascii="Times New Roman" w:hAnsi="Times New Roman" w:cs="Times New Roman"/>
          <w:color w:val="000000"/>
        </w:rPr>
        <w:t>’s proposed assurances directly conflict with the current</w:t>
      </w:r>
      <w:r>
        <w:rPr>
          <w:rStyle w:val="FootnoteReference"/>
          <w:rFonts w:cs="Times New Roman"/>
          <w:color w:val="000000"/>
        </w:rPr>
        <w:footnoteReference w:id="54"/>
      </w:r>
      <w:r w:rsidRPr="008319BB">
        <w:rPr>
          <w:rFonts w:ascii="Times New Roman" w:hAnsi="Times New Roman" w:cs="Times New Roman"/>
          <w:color w:val="000000"/>
        </w:rPr>
        <w:t xml:space="preserve"> and proposed</w:t>
      </w:r>
      <w:r>
        <w:rPr>
          <w:rStyle w:val="FootnoteReference"/>
          <w:rFonts w:cs="Times New Roman"/>
          <w:color w:val="000000"/>
        </w:rPr>
        <w:footnoteReference w:id="55"/>
      </w:r>
      <w:r w:rsidRPr="008319BB">
        <w:rPr>
          <w:rFonts w:ascii="Times New Roman" w:hAnsi="Times New Roman" w:cs="Times New Roman"/>
          <w:color w:val="000000"/>
        </w:rPr>
        <w:t xml:space="preserve"> rules requiring that </w:t>
      </w:r>
      <w:r>
        <w:rPr>
          <w:rFonts w:ascii="Times New Roman" w:hAnsi="Times New Roman" w:cs="Times New Roman"/>
          <w:color w:val="000000"/>
        </w:rPr>
        <w:t>each covered educational institution</w:t>
      </w:r>
      <w:r w:rsidRPr="008319BB">
        <w:rPr>
          <w:rFonts w:ascii="Times New Roman" w:hAnsi="Times New Roman" w:cs="Times New Roman"/>
          <w:color w:val="000000"/>
        </w:rPr>
        <w:t xml:space="preserve"> “notify” all applicants, students, employees, and unions “that it </w:t>
      </w:r>
      <w:r w:rsidRPr="008319BB">
        <w:rPr>
          <w:rFonts w:ascii="Times New Roman" w:hAnsi="Times New Roman" w:cs="Times New Roman"/>
          <w:i/>
          <w:iCs/>
          <w:color w:val="000000"/>
        </w:rPr>
        <w:t xml:space="preserve">does not </w:t>
      </w:r>
      <w:r w:rsidRPr="008319BB">
        <w:rPr>
          <w:rFonts w:ascii="Times New Roman" w:hAnsi="Times New Roman" w:cs="Times New Roman"/>
          <w:color w:val="000000"/>
        </w:rPr>
        <w:t xml:space="preserve">discriminate on the basis of sex.” By requiring a school to tell students that it does not discriminate while simultaneously allowing it to opt out of anti-discrimination provisions whenever it chooses, </w:t>
      </w:r>
      <w:r>
        <w:rPr>
          <w:rFonts w:ascii="Times New Roman" w:hAnsi="Times New Roman" w:cs="Times New Roman"/>
          <w:color w:val="000000"/>
        </w:rPr>
        <w:t>the Department</w:t>
      </w:r>
      <w:r w:rsidRPr="008319BB">
        <w:rPr>
          <w:rFonts w:ascii="Times New Roman" w:hAnsi="Times New Roman" w:cs="Times New Roman"/>
          <w:color w:val="000000"/>
        </w:rPr>
        <w:t xml:space="preserve"> is creating a system that enables schools to actively mislead students. This bait-and-switch practice demonstrates that </w:t>
      </w:r>
      <w:r>
        <w:rPr>
          <w:rFonts w:ascii="Times New Roman" w:hAnsi="Times New Roman" w:cs="Times New Roman"/>
          <w:color w:val="000000"/>
        </w:rPr>
        <w:t>the Department</w:t>
      </w:r>
      <w:r w:rsidRPr="008319BB">
        <w:rPr>
          <w:rFonts w:ascii="Times New Roman" w:hAnsi="Times New Roman" w:cs="Times New Roman"/>
          <w:color w:val="000000"/>
        </w:rPr>
        <w:t xml:space="preserve"> is more interested in protecting schools from liability when they discriminate than protecting students from discrimination. </w:t>
      </w:r>
    </w:p>
    <w:p w14:paraId="61C2968C" w14:textId="77777777" w:rsidR="000B2C8D" w:rsidRPr="008319BB" w:rsidRDefault="000B2C8D" w:rsidP="000B2C8D">
      <w:pPr>
        <w:textAlignment w:val="baseline"/>
        <w:rPr>
          <w:rFonts w:ascii="Times New Roman" w:eastAsia="Times New Roman" w:hAnsi="Times New Roman" w:cs="Times New Roman"/>
          <w:color w:val="000000"/>
        </w:rPr>
      </w:pPr>
    </w:p>
    <w:p w14:paraId="011669A1" w14:textId="77777777" w:rsidR="000B2C8D" w:rsidRPr="008319BB" w:rsidRDefault="000B2C8D" w:rsidP="000B2C8D">
      <w:pPr>
        <w:pStyle w:val="ListParagraph"/>
        <w:numPr>
          <w:ilvl w:val="0"/>
          <w:numId w:val="27"/>
        </w:numPr>
        <w:spacing w:after="0"/>
        <w:rPr>
          <w:rFonts w:ascii="Times New Roman" w:hAnsi="Times New Roman" w:cs="Times New Roman"/>
          <w:b/>
          <w:bCs/>
          <w:u w:val="single"/>
        </w:rPr>
      </w:pPr>
      <w:r w:rsidRPr="008319BB">
        <w:rPr>
          <w:rFonts w:ascii="Times New Roman" w:hAnsi="Times New Roman" w:cs="Times New Roman"/>
          <w:b/>
          <w:bCs/>
          <w:u w:val="single"/>
        </w:rPr>
        <w:t xml:space="preserve">The grievance procedures </w:t>
      </w:r>
      <w:r>
        <w:rPr>
          <w:rFonts w:ascii="Times New Roman" w:hAnsi="Times New Roman" w:cs="Times New Roman"/>
          <w:b/>
          <w:bCs/>
          <w:u w:val="single"/>
        </w:rPr>
        <w:t xml:space="preserve">required by the proposed rules </w:t>
      </w:r>
      <w:r w:rsidRPr="008319BB">
        <w:rPr>
          <w:rFonts w:ascii="Times New Roman" w:hAnsi="Times New Roman" w:cs="Times New Roman"/>
          <w:b/>
          <w:bCs/>
          <w:u w:val="single"/>
        </w:rPr>
        <w:t>would impermissibly tilt the process in favor of named harassers, retraumatize complainants, and conflict with Title IX</w:t>
      </w:r>
      <w:r>
        <w:rPr>
          <w:rFonts w:ascii="Times New Roman" w:hAnsi="Times New Roman" w:cs="Times New Roman"/>
          <w:b/>
          <w:bCs/>
          <w:u w:val="single"/>
        </w:rPr>
        <w:t>’s nondiscrimination mandate</w:t>
      </w:r>
      <w:r w:rsidRPr="008319BB">
        <w:rPr>
          <w:rFonts w:ascii="Times New Roman" w:hAnsi="Times New Roman" w:cs="Times New Roman"/>
          <w:b/>
          <w:bCs/>
          <w:u w:val="single"/>
        </w:rPr>
        <w:t>.</w:t>
      </w:r>
    </w:p>
    <w:p w14:paraId="53DF0720" w14:textId="77777777" w:rsidR="000B2C8D" w:rsidRPr="008319BB" w:rsidRDefault="000B2C8D" w:rsidP="000B2C8D">
      <w:pPr>
        <w:spacing w:after="0"/>
        <w:rPr>
          <w:rFonts w:ascii="Times New Roman" w:hAnsi="Times New Roman" w:cs="Times New Roman"/>
        </w:rPr>
      </w:pPr>
    </w:p>
    <w:p w14:paraId="2E2134F6" w14:textId="77777777" w:rsidR="000B2C8D" w:rsidRDefault="000B2C8D" w:rsidP="000B2C8D">
      <w:pPr>
        <w:spacing w:after="0"/>
        <w:rPr>
          <w:rFonts w:ascii="Times New Roman" w:hAnsi="Times New Roman" w:cs="Times New Roman"/>
        </w:rPr>
      </w:pPr>
      <w:r w:rsidRPr="008319BB">
        <w:rPr>
          <w:rFonts w:ascii="Times New Roman" w:hAnsi="Times New Roman" w:cs="Times New Roman"/>
        </w:rPr>
        <w:tab/>
        <w:t>Current Title IX regulations require schools to “adopt and publish grievance procedures that provide for a prompt and equitable resolution of student and employee complaints” of sexual misconduct.</w:t>
      </w:r>
      <w:r w:rsidRPr="1627AC4F">
        <w:rPr>
          <w:rStyle w:val="FootnoteReference"/>
          <w:rFonts w:cs="Times New Roman"/>
        </w:rPr>
        <w:footnoteReference w:id="56"/>
      </w:r>
      <w:r w:rsidRPr="008319BB">
        <w:rPr>
          <w:rFonts w:ascii="Times New Roman" w:hAnsi="Times New Roman" w:cs="Times New Roman"/>
        </w:rPr>
        <w:t xml:space="preserve"> </w:t>
      </w:r>
      <w:r>
        <w:rPr>
          <w:rFonts w:ascii="Times New Roman" w:hAnsi="Times New Roman" w:cs="Times New Roman"/>
        </w:rPr>
        <w:t>The proposed rules purport to require “equitable” processes as well.</w:t>
      </w:r>
      <w:r>
        <w:rPr>
          <w:rStyle w:val="FootnoteReference"/>
          <w:rFonts w:cs="Times New Roman"/>
        </w:rPr>
        <w:footnoteReference w:id="57"/>
      </w:r>
      <w:r>
        <w:rPr>
          <w:rFonts w:ascii="Times New Roman" w:hAnsi="Times New Roman" w:cs="Times New Roman"/>
        </w:rPr>
        <w:t xml:space="preserve"> </w:t>
      </w:r>
      <w:r w:rsidRPr="008319BB">
        <w:rPr>
          <w:rFonts w:ascii="Times New Roman" w:hAnsi="Times New Roman" w:cs="Times New Roman"/>
        </w:rPr>
        <w:t>However, the proposed rules are</w:t>
      </w:r>
      <w:r>
        <w:rPr>
          <w:rFonts w:ascii="Times New Roman" w:hAnsi="Times New Roman" w:cs="Times New Roman"/>
        </w:rPr>
        <w:t xml:space="preserve"> also</w:t>
      </w:r>
      <w:r w:rsidRPr="008319BB">
        <w:rPr>
          <w:rFonts w:ascii="Times New Roman" w:hAnsi="Times New Roman" w:cs="Times New Roman"/>
        </w:rPr>
        <w:t xml:space="preserve"> riddled with language that would require schools to conduct their grievance procedures in a fundamentally </w:t>
      </w:r>
      <w:r w:rsidRPr="1627AC4F">
        <w:rPr>
          <w:rFonts w:ascii="Times New Roman" w:hAnsi="Times New Roman" w:cs="Times New Roman"/>
          <w:i/>
          <w:iCs/>
        </w:rPr>
        <w:t xml:space="preserve">inequitable </w:t>
      </w:r>
      <w:r w:rsidRPr="008319BB">
        <w:rPr>
          <w:rFonts w:ascii="Times New Roman" w:hAnsi="Times New Roman" w:cs="Times New Roman"/>
        </w:rPr>
        <w:t xml:space="preserve">way that favors respondents. </w:t>
      </w:r>
    </w:p>
    <w:p w14:paraId="4AF99A9B" w14:textId="77777777" w:rsidR="000B2C8D" w:rsidRDefault="000B2C8D" w:rsidP="000B2C8D">
      <w:pPr>
        <w:spacing w:after="0"/>
        <w:rPr>
          <w:rFonts w:ascii="Times New Roman" w:hAnsi="Times New Roman" w:cs="Times New Roman"/>
        </w:rPr>
      </w:pPr>
    </w:p>
    <w:p w14:paraId="64AD12F5" w14:textId="77777777" w:rsidR="000B2C8D" w:rsidRPr="00FA6DD8" w:rsidRDefault="000B2C8D" w:rsidP="000B2C8D">
      <w:pPr>
        <w:ind w:firstLine="720"/>
        <w:rPr>
          <w:rFonts w:ascii="Times New Roman" w:eastAsia="Times New Roman" w:hAnsi="Times New Roman" w:cs="Times New Roman"/>
          <w:color w:val="000000"/>
        </w:rPr>
      </w:pPr>
      <w:r>
        <w:rPr>
          <w:rFonts w:ascii="Times New Roman" w:hAnsi="Times New Roman" w:cs="Times New Roman"/>
        </w:rPr>
        <w:t>The Department</w:t>
      </w:r>
      <w:r w:rsidRPr="008319BB">
        <w:rPr>
          <w:rFonts w:ascii="Times New Roman" w:hAnsi="Times New Roman" w:cs="Times New Roman"/>
        </w:rPr>
        <w:t xml:space="preserve"> repeatedly uses the purported need to increase protections of respondents’ “due process rights” to justify weakening Title IX protections for complainants</w:t>
      </w:r>
      <w:r>
        <w:rPr>
          <w:rFonts w:ascii="Times New Roman" w:hAnsi="Times New Roman" w:cs="Times New Roman"/>
        </w:rPr>
        <w:t xml:space="preserve"> and proposes a provision</w:t>
      </w:r>
      <w:r w:rsidRPr="008319BB">
        <w:rPr>
          <w:rFonts w:ascii="Times New Roman" w:hAnsi="Times New Roman" w:cs="Times New Roman"/>
        </w:rPr>
        <w:t xml:space="preserve"> specifying that nothing in the rules would require a school to deprive a person of their due process rights.</w:t>
      </w:r>
      <w:r>
        <w:rPr>
          <w:rStyle w:val="FootnoteReference"/>
          <w:rFonts w:cs="Times New Roman"/>
        </w:rPr>
        <w:footnoteReference w:id="58"/>
      </w:r>
      <w:r w:rsidRPr="008319BB">
        <w:rPr>
          <w:rFonts w:ascii="Times New Roman" w:hAnsi="Times New Roman" w:cs="Times New Roman"/>
        </w:rPr>
        <w:t xml:space="preserve"> B</w:t>
      </w:r>
      <w:r w:rsidRPr="008319BB">
        <w:rPr>
          <w:rFonts w:ascii="Times New Roman" w:hAnsi="Times New Roman" w:cs="Times New Roman"/>
          <w:color w:val="000000"/>
        </w:rPr>
        <w:t xml:space="preserve">ut the current </w:t>
      </w:r>
      <w:r w:rsidRPr="008319BB">
        <w:rPr>
          <w:rFonts w:ascii="Times New Roman" w:hAnsi="Times New Roman" w:cs="Times New Roman"/>
        </w:rPr>
        <w:t xml:space="preserve">Title IX regulations already provide more rigorous due process protections than </w:t>
      </w:r>
      <w:r>
        <w:rPr>
          <w:rFonts w:ascii="Times New Roman" w:hAnsi="Times New Roman" w:cs="Times New Roman"/>
        </w:rPr>
        <w:t>are</w:t>
      </w:r>
      <w:r w:rsidRPr="008319BB">
        <w:rPr>
          <w:rFonts w:ascii="Times New Roman" w:hAnsi="Times New Roman" w:cs="Times New Roman"/>
        </w:rPr>
        <w:t xml:space="preserve"> required under the Constitution. </w:t>
      </w:r>
      <w:r w:rsidRPr="008319BB">
        <w:rPr>
          <w:rFonts w:ascii="Times New Roman" w:eastAsia="Times New Roman" w:hAnsi="Times New Roman" w:cs="Times New Roman"/>
          <w:color w:val="000000"/>
        </w:rPr>
        <w:t>The Supreme Court has held that students facing short-term suspensions from public schools</w:t>
      </w:r>
      <w:r w:rsidRPr="1627AC4F">
        <w:rPr>
          <w:rStyle w:val="FootnoteReference"/>
          <w:rFonts w:eastAsia="Times New Roman" w:cs="Times New Roman"/>
          <w:color w:val="000000"/>
        </w:rPr>
        <w:footnoteReference w:id="59"/>
      </w:r>
      <w:r w:rsidRPr="008319BB">
        <w:rPr>
          <w:rFonts w:ascii="Times New Roman" w:eastAsia="Times New Roman" w:hAnsi="Times New Roman" w:cs="Times New Roman"/>
          <w:color w:val="000000"/>
        </w:rPr>
        <w:t xml:space="preserve"> require only “some kind of” “oral or written notice” and “some kind of hearing.”</w:t>
      </w:r>
      <w:r w:rsidRPr="1627AC4F">
        <w:rPr>
          <w:rStyle w:val="FootnoteReference"/>
          <w:rFonts w:eastAsia="Times New Roman" w:cs="Times New Roman"/>
          <w:color w:val="000000"/>
        </w:rPr>
        <w:footnoteReference w:id="60"/>
      </w:r>
      <w:r w:rsidRPr="008319BB">
        <w:rPr>
          <w:rFonts w:ascii="Times New Roman" w:eastAsia="Times New Roman" w:hAnsi="Times New Roman" w:cs="Times New Roman"/>
          <w:color w:val="000000"/>
        </w:rPr>
        <w:t xml:space="preserve"> </w:t>
      </w:r>
      <w:r w:rsidRPr="008319BB">
        <w:rPr>
          <w:rFonts w:ascii="Times New Roman" w:hAnsi="Times New Roman" w:cs="Times New Roman"/>
        </w:rPr>
        <w:t>The Court has explicitly said that a 10-day suspension does not require “the opportunity to secure counsel, to confront and cross-examine witnesses supporting the charge, or to call his own witnesses to verify his version of the incident.”</w:t>
      </w:r>
      <w:r w:rsidRPr="1627AC4F">
        <w:rPr>
          <w:rStyle w:val="FootnoteReference"/>
          <w:rFonts w:cs="Times New Roman"/>
        </w:rPr>
        <w:footnoteReference w:id="61"/>
      </w:r>
      <w:r w:rsidRPr="008319BB">
        <w:rPr>
          <w:rFonts w:ascii="Times New Roman" w:hAnsi="Times New Roman" w:cs="Times New Roman"/>
        </w:rPr>
        <w:t xml:space="preserve"> The Court has also approved at least one circuit court decision holding that expulsion from a public school does not require “a full-dress judicial hearing.”</w:t>
      </w:r>
      <w:r w:rsidRPr="1627AC4F">
        <w:rPr>
          <w:rStyle w:val="FootnoteReference"/>
          <w:rFonts w:cs="Times New Roman"/>
        </w:rPr>
        <w:footnoteReference w:id="62"/>
      </w:r>
      <w:r w:rsidRPr="008319BB">
        <w:rPr>
          <w:rFonts w:ascii="Times New Roman" w:hAnsi="Times New Roman" w:cs="Times New Roman"/>
        </w:rPr>
        <w:t xml:space="preserve"> Furthermore, </w:t>
      </w:r>
      <w:r>
        <w:rPr>
          <w:rFonts w:ascii="Times New Roman" w:hAnsi="Times New Roman" w:cs="Times New Roman"/>
        </w:rPr>
        <w:t>the Department</w:t>
      </w:r>
      <w:r w:rsidRPr="008319BB">
        <w:rPr>
          <w:rFonts w:ascii="Times New Roman" w:hAnsi="Times New Roman" w:cs="Times New Roman"/>
        </w:rPr>
        <w:t>’s 2001 Guidance already instructs schools to protect the “due process rights of the accused.”</w:t>
      </w:r>
      <w:r w:rsidRPr="1627AC4F">
        <w:rPr>
          <w:rStyle w:val="FootnoteReference"/>
          <w:rFonts w:cs="Times New Roman"/>
        </w:rPr>
        <w:footnoteReference w:id="63"/>
      </w:r>
      <w:r w:rsidRPr="008319BB">
        <w:rPr>
          <w:rFonts w:ascii="Times New Roman" w:hAnsi="Times New Roman" w:cs="Times New Roman"/>
        </w:rPr>
        <w:t xml:space="preserve"> </w:t>
      </w:r>
      <w:r>
        <w:rPr>
          <w:rFonts w:ascii="Times New Roman" w:eastAsia="Times New Roman" w:hAnsi="Times New Roman" w:cs="Times New Roman"/>
          <w:color w:val="000000"/>
        </w:rPr>
        <w:t>A</w:t>
      </w:r>
      <w:r w:rsidRPr="008319BB">
        <w:rPr>
          <w:rFonts w:ascii="Times New Roman" w:eastAsia="Times New Roman" w:hAnsi="Times New Roman" w:cs="Times New Roman"/>
          <w:color w:val="000000"/>
        </w:rPr>
        <w:t xml:space="preserve">dding </w:t>
      </w:r>
      <w:r w:rsidRPr="008319BB">
        <w:rPr>
          <w:rFonts w:ascii="Times New Roman" w:hAnsi="Times New Roman" w:cs="Times New Roman"/>
        </w:rPr>
        <w:t>§ 106.6(d)(2)</w:t>
      </w:r>
      <w:r>
        <w:rPr>
          <w:rFonts w:ascii="Times New Roman" w:hAnsi="Times New Roman" w:cs="Times New Roman"/>
        </w:rPr>
        <w:t xml:space="preserve"> provides no new or necessary protections and inappropriately pits Title IX’s civil rights mandate against the Constitution when no such conflict exists</w:t>
      </w:r>
      <w:r w:rsidRPr="008319BB">
        <w:rPr>
          <w:rFonts w:ascii="Times New Roman" w:eastAsia="Times New Roman" w:hAnsi="Times New Roman" w:cs="Times New Roman"/>
          <w:color w:val="000000"/>
        </w:rPr>
        <w:t>.</w:t>
      </w:r>
    </w:p>
    <w:p w14:paraId="5EBD3B5C" w14:textId="77777777" w:rsidR="000B2C8D" w:rsidRPr="008319BB" w:rsidRDefault="000B2C8D" w:rsidP="000B2C8D">
      <w:pPr>
        <w:pStyle w:val="ListParagraph"/>
        <w:numPr>
          <w:ilvl w:val="0"/>
          <w:numId w:val="11"/>
        </w:numPr>
        <w:spacing w:after="0"/>
        <w:rPr>
          <w:rFonts w:ascii="Times New Roman" w:hAnsi="Times New Roman" w:cs="Times New Roman"/>
          <w:b/>
          <w:bCs/>
        </w:rPr>
      </w:pPr>
      <w:r w:rsidRPr="008319BB">
        <w:rPr>
          <w:rFonts w:ascii="Times New Roman" w:hAnsi="Times New Roman" w:cs="Times New Roman"/>
          <w:b/>
          <w:bCs/>
        </w:rPr>
        <w:t>The proposed rule’s requirement that a respondent be presumed not responsible for harassment is inequitable and inappropriate in school proceedings.</w:t>
      </w:r>
    </w:p>
    <w:p w14:paraId="1C9B2A04" w14:textId="77777777" w:rsidR="000B2C8D" w:rsidRPr="008319BB" w:rsidRDefault="000B2C8D" w:rsidP="000B2C8D">
      <w:pPr>
        <w:spacing w:after="0"/>
        <w:rPr>
          <w:rFonts w:ascii="Times New Roman" w:hAnsi="Times New Roman" w:cs="Times New Roman"/>
          <w:b/>
        </w:rPr>
      </w:pPr>
    </w:p>
    <w:p w14:paraId="07A79D05" w14:textId="77777777" w:rsidR="000B2C8D" w:rsidRPr="008319BB" w:rsidRDefault="000B2C8D" w:rsidP="000B2C8D">
      <w:pPr>
        <w:spacing w:after="0" w:line="240" w:lineRule="auto"/>
        <w:ind w:firstLine="720"/>
        <w:rPr>
          <w:rFonts w:ascii="Times New Roman" w:hAnsi="Times New Roman" w:cs="Times New Roman"/>
        </w:rPr>
      </w:pPr>
      <w:r w:rsidRPr="008319BB">
        <w:rPr>
          <w:rFonts w:ascii="Times New Roman" w:hAnsi="Times New Roman" w:cs="Times New Roman"/>
        </w:rPr>
        <w:t xml:space="preserve">Under proposed rule § 106.45(b)(1)(iv), schools would be required to </w:t>
      </w:r>
      <w:r>
        <w:rPr>
          <w:rFonts w:ascii="Times New Roman" w:hAnsi="Times New Roman" w:cs="Times New Roman"/>
        </w:rPr>
        <w:t>presume</w:t>
      </w:r>
      <w:r w:rsidRPr="008319BB">
        <w:rPr>
          <w:rFonts w:ascii="Times New Roman" w:hAnsi="Times New Roman" w:cs="Times New Roman"/>
        </w:rPr>
        <w:t xml:space="preserve"> that the reported harassment did not occur, which would ensure partiality to the respondent. </w:t>
      </w:r>
      <w:r w:rsidRPr="008319BB">
        <w:rPr>
          <w:rFonts w:ascii="Times New Roman" w:hAnsi="Times New Roman" w:cs="Times New Roman"/>
          <w:color w:val="000000"/>
        </w:rPr>
        <w:t xml:space="preserve">This presumption would also exacerbate </w:t>
      </w:r>
      <w:r w:rsidRPr="008319BB">
        <w:rPr>
          <w:rFonts w:ascii="Times New Roman" w:eastAsia="Times New Roman" w:hAnsi="Times New Roman" w:cs="Times New Roman"/>
          <w:color w:val="000000"/>
        </w:rPr>
        <w:t xml:space="preserve">rape </w:t>
      </w:r>
      <w:r w:rsidRPr="008319BB">
        <w:rPr>
          <w:rFonts w:ascii="Times New Roman" w:hAnsi="Times New Roman" w:cs="Times New Roman"/>
          <w:color w:val="000000"/>
        </w:rPr>
        <w:t>myths upon which many of the proposed rules are based</w:t>
      </w:r>
      <w:r>
        <w:rPr>
          <w:rFonts w:ascii="Times New Roman" w:hAnsi="Times New Roman" w:cs="Times New Roman"/>
          <w:color w:val="000000"/>
        </w:rPr>
        <w:t>—namely, the myth that women and girls often lie about sexual assault</w:t>
      </w:r>
      <w:r w:rsidRPr="008319BB">
        <w:rPr>
          <w:rFonts w:ascii="Times New Roman" w:hAnsi="Times New Roman" w:cs="Times New Roman"/>
          <w:color w:val="000000"/>
        </w:rPr>
        <w:t>.</w:t>
      </w:r>
      <w:r w:rsidRPr="1627AC4F">
        <w:rPr>
          <w:rStyle w:val="FootnoteReference"/>
          <w:rFonts w:cs="Times New Roman"/>
        </w:rPr>
        <w:footnoteReference w:id="64"/>
      </w:r>
      <w:r>
        <w:rPr>
          <w:rFonts w:ascii="Times New Roman" w:hAnsi="Times New Roman" w:cs="Times New Roman"/>
        </w:rPr>
        <w:t xml:space="preserve"> </w:t>
      </w:r>
      <w:r w:rsidRPr="008319BB">
        <w:rPr>
          <w:rFonts w:ascii="Times New Roman" w:hAnsi="Times New Roman" w:cs="Times New Roman"/>
        </w:rPr>
        <w:t>The presumption of innocence is a criminal law principle</w:t>
      </w:r>
      <w:r>
        <w:rPr>
          <w:rFonts w:ascii="Times New Roman" w:hAnsi="Times New Roman" w:cs="Times New Roman"/>
        </w:rPr>
        <w:t>, incorrectly imported into this context</w:t>
      </w:r>
      <w:bookmarkStart w:id="15" w:name="_Ref533078319"/>
      <w:r w:rsidRPr="001D14F3">
        <w:rPr>
          <w:rFonts w:ascii="Times New Roman" w:hAnsi="Times New Roman" w:cs="Times New Roman"/>
          <w:vertAlign w:val="superscript"/>
        </w:rPr>
        <w:footnoteReference w:id="65"/>
      </w:r>
      <w:bookmarkEnd w:id="15"/>
      <w:r w:rsidRPr="008319BB">
        <w:rPr>
          <w:rFonts w:ascii="Times New Roman" w:hAnsi="Times New Roman" w:cs="Times New Roman"/>
        </w:rPr>
        <w:t xml:space="preserve">; criminal defendants </w:t>
      </w:r>
      <w:r>
        <w:rPr>
          <w:rFonts w:ascii="Times New Roman" w:hAnsi="Times New Roman" w:cs="Times New Roman"/>
        </w:rPr>
        <w:t>are</w:t>
      </w:r>
      <w:r w:rsidRPr="008319BB">
        <w:rPr>
          <w:rFonts w:ascii="Times New Roman" w:hAnsi="Times New Roman" w:cs="Times New Roman"/>
        </w:rPr>
        <w:t xml:space="preserve"> presumed innocent until proven guilty because </w:t>
      </w:r>
      <w:r>
        <w:rPr>
          <w:rFonts w:ascii="Times New Roman" w:hAnsi="Times New Roman" w:cs="Times New Roman"/>
        </w:rPr>
        <w:t>their very liberty is at stake—</w:t>
      </w:r>
      <w:r w:rsidRPr="008319BB">
        <w:rPr>
          <w:rFonts w:ascii="Times New Roman" w:hAnsi="Times New Roman" w:cs="Times New Roman"/>
        </w:rPr>
        <w:t>criminal defendants go to prison if they are found guilty. There is no such principle in civil proceedings or civil rights proceedings, and Title IX is a civil rights law</w:t>
      </w:r>
      <w:r>
        <w:rPr>
          <w:rFonts w:ascii="Times New Roman" w:hAnsi="Times New Roman" w:cs="Times New Roman"/>
        </w:rPr>
        <w:t xml:space="preserve"> that ensures that sexual harassment is never the end to anyone’s education</w:t>
      </w:r>
      <w:r w:rsidRPr="008319BB">
        <w:rPr>
          <w:rFonts w:ascii="Times New Roman" w:hAnsi="Times New Roman" w:cs="Times New Roman"/>
        </w:rPr>
        <w:t>.</w:t>
      </w:r>
    </w:p>
    <w:p w14:paraId="443F79D2" w14:textId="77777777" w:rsidR="000B2C8D" w:rsidRPr="008319BB" w:rsidRDefault="000B2C8D" w:rsidP="000B2C8D">
      <w:pPr>
        <w:spacing w:after="0" w:line="240" w:lineRule="auto"/>
        <w:ind w:firstLine="720"/>
        <w:rPr>
          <w:rFonts w:ascii="Times New Roman" w:hAnsi="Times New Roman" w:cs="Times New Roman"/>
        </w:rPr>
      </w:pPr>
    </w:p>
    <w:p w14:paraId="52313F2F" w14:textId="77777777" w:rsidR="000B2C8D" w:rsidRPr="00726743" w:rsidRDefault="000B2C8D" w:rsidP="000B2C8D">
      <w:pPr>
        <w:spacing w:after="0" w:line="240" w:lineRule="auto"/>
        <w:ind w:firstLine="720"/>
        <w:textAlignment w:val="baseline"/>
        <w:rPr>
          <w:rFonts w:ascii="Times New Roman" w:eastAsia="Times New Roman" w:hAnsi="Times New Roman"/>
          <w:vertAlign w:val="superscript"/>
        </w:rPr>
      </w:pPr>
      <w:r w:rsidRPr="00F15FFF">
        <w:rPr>
          <w:rFonts w:ascii="Times New Roman" w:hAnsi="Times New Roman" w:cs="Times New Roman"/>
        </w:rPr>
        <w:t xml:space="preserve">Section 106.45(b)(1)(iv) would only encourage schools to ignore or punish </w:t>
      </w:r>
      <w:r>
        <w:rPr>
          <w:rFonts w:ascii="Times New Roman" w:hAnsi="Times New Roman" w:cs="Times New Roman"/>
        </w:rPr>
        <w:t>historically marginalized and underrepresented groups</w:t>
      </w:r>
      <w:r w:rsidRPr="00F15FFF">
        <w:rPr>
          <w:rFonts w:ascii="Times New Roman" w:hAnsi="Times New Roman" w:cs="Times New Roman"/>
        </w:rPr>
        <w:t xml:space="preserve"> </w:t>
      </w:r>
      <w:r>
        <w:rPr>
          <w:rFonts w:ascii="Times New Roman" w:hAnsi="Times New Roman" w:cs="Times New Roman"/>
        </w:rPr>
        <w:t>that</w:t>
      </w:r>
      <w:r w:rsidRPr="00F15FFF">
        <w:rPr>
          <w:rFonts w:ascii="Times New Roman" w:hAnsi="Times New Roman" w:cs="Times New Roman"/>
        </w:rPr>
        <w:t xml:space="preserve"> report sexual harassment for “lying” about it.</w:t>
      </w:r>
      <w:r w:rsidRPr="008319BB">
        <w:rPr>
          <w:rFonts w:ascii="Times New Roman" w:hAnsi="Times New Roman" w:cs="Times New Roman"/>
          <w:vertAlign w:val="superscript"/>
        </w:rPr>
        <w:footnoteReference w:id="66"/>
      </w:r>
      <w:r w:rsidRPr="008319BB">
        <w:rPr>
          <w:rFonts w:ascii="Times New Roman" w:hAnsi="Times New Roman" w:cs="Times New Roman"/>
        </w:rPr>
        <w:t xml:space="preserve"> </w:t>
      </w:r>
      <w:r w:rsidRPr="008319BB">
        <w:rPr>
          <w:rFonts w:ascii="Times New Roman" w:hAnsi="Times New Roman" w:cs="Times New Roman"/>
          <w:color w:val="000000"/>
        </w:rPr>
        <w:t>Schools may be more likely to ignore</w:t>
      </w:r>
      <w:r w:rsidRPr="008319BB">
        <w:rPr>
          <w:rFonts w:ascii="Times New Roman" w:eastAsia="Times New Roman" w:hAnsi="Times New Roman" w:cs="Times New Roman"/>
          <w:color w:val="000000"/>
        </w:rPr>
        <w:t xml:space="preserve"> or</w:t>
      </w:r>
      <w:r w:rsidRPr="008319BB">
        <w:rPr>
          <w:rFonts w:ascii="Times New Roman" w:hAnsi="Times New Roman" w:cs="Times New Roman"/>
          <w:color w:val="000000"/>
        </w:rPr>
        <w:t xml:space="preserve"> punish</w:t>
      </w:r>
      <w:r>
        <w:rPr>
          <w:rFonts w:ascii="Times New Roman" w:hAnsi="Times New Roman" w:cs="Times New Roman"/>
          <w:color w:val="000000"/>
        </w:rPr>
        <w:t xml:space="preserve"> survivors who are</w:t>
      </w:r>
      <w:r w:rsidRPr="008319BB">
        <w:rPr>
          <w:rFonts w:ascii="Times New Roman" w:hAnsi="Times New Roman" w:cs="Times New Roman"/>
          <w:color w:val="000000"/>
        </w:rPr>
        <w:t xml:space="preserve"> women and girls of color,</w:t>
      </w:r>
      <w:bookmarkStart w:id="16" w:name="_Ref533077001"/>
      <w:r>
        <w:rPr>
          <w:rStyle w:val="FootnoteReference"/>
          <w:rFonts w:cs="Times New Roman"/>
          <w:color w:val="000000"/>
        </w:rPr>
        <w:footnoteReference w:id="67"/>
      </w:r>
      <w:bookmarkEnd w:id="16"/>
      <w:r w:rsidRPr="008319BB">
        <w:rPr>
          <w:rFonts w:ascii="Times New Roman" w:hAnsi="Times New Roman" w:cs="Times New Roman"/>
          <w:color w:val="000000"/>
        </w:rPr>
        <w:t xml:space="preserve"> pregnant and parenting students,</w:t>
      </w:r>
      <w:r w:rsidRPr="1627AC4F">
        <w:rPr>
          <w:rStyle w:val="FootnoteReference"/>
          <w:rFonts w:cs="Times New Roman"/>
          <w:color w:val="000000"/>
        </w:rPr>
        <w:footnoteReference w:id="68"/>
      </w:r>
      <w:r w:rsidRPr="008319BB">
        <w:rPr>
          <w:rFonts w:ascii="Times New Roman" w:hAnsi="Times New Roman" w:cs="Times New Roman"/>
          <w:color w:val="000000"/>
        </w:rPr>
        <w:t xml:space="preserve"> and LGBTQ students</w:t>
      </w:r>
      <w:r w:rsidRPr="1627AC4F">
        <w:rPr>
          <w:rStyle w:val="FootnoteReference"/>
          <w:rFonts w:cs="Times New Roman"/>
          <w:color w:val="000000"/>
        </w:rPr>
        <w:footnoteReference w:id="69"/>
      </w:r>
      <w:r w:rsidRPr="008319BB">
        <w:rPr>
          <w:rFonts w:ascii="Times New Roman" w:hAnsi="Times New Roman" w:cs="Times New Roman"/>
          <w:color w:val="000000"/>
        </w:rPr>
        <w:t xml:space="preserve"> because of harmful race and sex stereotypes that label them as “promiscuous.”</w:t>
      </w:r>
      <w:r>
        <w:rPr>
          <w:rFonts w:ascii="Times New Roman" w:hAnsi="Times New Roman" w:cs="Times New Roman"/>
          <w:color w:val="000000"/>
        </w:rPr>
        <w:t xml:space="preserve"> </w:t>
      </w:r>
    </w:p>
    <w:p w14:paraId="4651DC5E" w14:textId="77777777" w:rsidR="000B2C8D" w:rsidRDefault="000B2C8D" w:rsidP="000B2C8D">
      <w:pPr>
        <w:spacing w:after="0" w:line="240" w:lineRule="auto"/>
        <w:textAlignment w:val="baseline"/>
        <w:rPr>
          <w:rFonts w:ascii="Times New Roman" w:hAnsi="Times New Roman" w:cs="Times New Roman"/>
        </w:rPr>
      </w:pPr>
    </w:p>
    <w:p w14:paraId="4D7FEA60" w14:textId="77777777" w:rsidR="000B2C8D" w:rsidRDefault="000B2C8D" w:rsidP="000B2C8D">
      <w:pPr>
        <w:spacing w:after="0" w:line="240" w:lineRule="auto"/>
        <w:ind w:firstLine="720"/>
        <w:textAlignment w:val="baseline"/>
        <w:rPr>
          <w:rFonts w:ascii="Times New Roman" w:hAnsi="Times New Roman" w:cs="Times New Roman"/>
        </w:rPr>
      </w:pPr>
      <w:r w:rsidRPr="00CC17CF">
        <w:rPr>
          <w:rFonts w:ascii="Times New Roman" w:hAnsi="Times New Roman" w:cs="Times New Roman"/>
          <w:color w:val="000000"/>
        </w:rPr>
        <w:t>Women and girls of color already face unfair discipline due to race and sex stereotypes.</w:t>
      </w:r>
      <w:r w:rsidRPr="00CC17CF">
        <w:rPr>
          <w:rStyle w:val="FootnoteReference"/>
          <w:rFonts w:eastAsia="Times New Roman" w:cs="Times New Roman"/>
          <w:color w:val="000000"/>
        </w:rPr>
        <w:footnoteReference w:id="70"/>
      </w:r>
      <w:r w:rsidRPr="00CC17CF">
        <w:rPr>
          <w:rFonts w:ascii="Times New Roman" w:hAnsi="Times New Roman" w:cs="Times New Roman"/>
          <w:color w:val="000000"/>
        </w:rPr>
        <w:t xml:space="preserve"> Schools are also more likely to ignore, blame, and punish women and girls of color who report sexual harassment due to harmful race and sex stereotypes that label them as “promiscuous.”</w:t>
      </w:r>
      <w:r w:rsidRPr="00CC17CF">
        <w:rPr>
          <w:rStyle w:val="FootnoteReference"/>
          <w:rFonts w:eastAsia="Times New Roman" w:cs="Times New Roman"/>
          <w:color w:val="000000"/>
        </w:rPr>
        <w:footnoteReference w:id="71"/>
      </w:r>
      <w:r w:rsidRPr="00CC17CF">
        <w:rPr>
          <w:rFonts w:ascii="Times New Roman" w:hAnsi="Times New Roman" w:cs="Times New Roman"/>
          <w:color w:val="000000"/>
        </w:rPr>
        <w:t xml:space="preserve"> For example, Black women and girls are commonly stereotyped as “Jezebels,” Latina women and girls as “hotblooded,” Asian American and Pacific Islander women and girls as “submissive, and naturally erotic,” Native women and girls as “sexually violable as a tool of war and colonization,” and multiracial women and girls as “tragic and vulnerable, historically, products of sexual and racial domination” (internal quotations and brackets omitted).</w:t>
      </w:r>
      <w:r w:rsidRPr="00CC17CF">
        <w:rPr>
          <w:rStyle w:val="FootnoteReference"/>
          <w:rFonts w:eastAsia="Times New Roman" w:cs="Times New Roman"/>
          <w:color w:val="000000"/>
        </w:rPr>
        <w:footnoteReference w:id="72"/>
      </w:r>
      <w:r w:rsidRPr="00CC17CF">
        <w:rPr>
          <w:rFonts w:ascii="Times New Roman" w:hAnsi="Times New Roman" w:cs="Times New Roman"/>
          <w:color w:val="000000"/>
        </w:rPr>
        <w:t xml:space="preserve"> Black women and girls are especially likely to be punished by schools.</w:t>
      </w:r>
      <w:r w:rsidRPr="00CC17CF">
        <w:rPr>
          <w:rFonts w:ascii="Times New Roman" w:hAnsi="Times New Roman" w:cs="Times New Roman"/>
          <w:i/>
          <w:iCs/>
          <w:color w:val="000000"/>
        </w:rPr>
        <w:t xml:space="preserve"> </w:t>
      </w:r>
      <w:r w:rsidRPr="00CC17CF">
        <w:rPr>
          <w:rFonts w:ascii="Times New Roman" w:hAnsi="Times New Roman" w:cs="Times New Roman"/>
          <w:color w:val="000000"/>
        </w:rPr>
        <w:t xml:space="preserve">For example, The Department’s </w:t>
      </w:r>
      <w:r w:rsidRPr="00CC17CF">
        <w:rPr>
          <w:rFonts w:ascii="Times New Roman" w:hAnsi="Times New Roman" w:cs="Times New Roman"/>
        </w:rPr>
        <w:t>2013-14 Civil Rights Data Collection (CRDC) shows that Black girls are five times more likely than w</w:t>
      </w:r>
      <w:r w:rsidRPr="00CC17CF">
        <w:rPr>
          <w:rFonts w:ascii="Times New Roman" w:hAnsi="Times New Roman" w:cs="Times New Roman"/>
          <w:color w:val="000000"/>
        </w:rPr>
        <w:t>hite girls to be suspended in K-12, and that while Black girls represented 20% of all preschool enrolled students, they were 54% of preschool students who were suspended</w:t>
      </w:r>
      <w:r w:rsidRPr="00CC17CF">
        <w:rPr>
          <w:rFonts w:ascii="Times New Roman" w:eastAsia="Times New Roman" w:hAnsi="Times New Roman" w:cs="Times New Roman"/>
          <w:color w:val="000000"/>
        </w:rPr>
        <w:t>.</w:t>
      </w:r>
      <w:r w:rsidRPr="00CC17CF">
        <w:rPr>
          <w:rStyle w:val="FootnoteReference"/>
          <w:rFonts w:eastAsia="Times New Roman" w:cs="Times New Roman"/>
          <w:color w:val="000000"/>
        </w:rPr>
        <w:footnoteReference w:id="73"/>
      </w:r>
      <w:r w:rsidRPr="00CC17CF">
        <w:rPr>
          <w:rFonts w:ascii="Times New Roman" w:hAnsi="Times New Roman" w:cs="Times New Roman"/>
          <w:color w:val="000000"/>
        </w:rPr>
        <w:t xml:space="preserve"> the Department’s 2015-16 CRDC </w:t>
      </w:r>
      <w:r w:rsidRPr="00CC17CF">
        <w:rPr>
          <w:rFonts w:ascii="Times New Roman" w:hAnsi="Times New Roman" w:cs="Times New Roman"/>
        </w:rPr>
        <w:t>again shows that Black girls are more likely to be suspended and expelled than other girls.</w:t>
      </w:r>
      <w:r w:rsidRPr="00CC17CF">
        <w:rPr>
          <w:rStyle w:val="FootnoteReference"/>
          <w:rFonts w:cs="Times New Roman"/>
        </w:rPr>
        <w:footnoteReference w:id="74"/>
      </w:r>
      <w:r w:rsidRPr="00CC17CF">
        <w:rPr>
          <w:rFonts w:ascii="Times New Roman" w:hAnsi="Times New Roman" w:cs="Times New Roman"/>
        </w:rPr>
        <w:t xml:space="preserve"> Schools are also more likely to punish Black women and girls by labeling them as the aggressor </w:t>
      </w:r>
      <w:r w:rsidRPr="00CC17CF">
        <w:rPr>
          <w:rFonts w:ascii="Times New Roman" w:hAnsi="Times New Roman" w:cs="Times New Roman"/>
          <w:color w:val="000000" w:themeColor="text1"/>
        </w:rPr>
        <w:t>when they defend themselves against their harassers or when they respond to trauma</w:t>
      </w:r>
      <w:r w:rsidRPr="00CC17CF">
        <w:rPr>
          <w:rFonts w:ascii="Times New Roman" w:hAnsi="Times New Roman" w:cs="Times New Roman"/>
        </w:rPr>
        <w:t xml:space="preserve"> </w:t>
      </w:r>
      <w:r w:rsidRPr="00CC17CF">
        <w:rPr>
          <w:rFonts w:ascii="Times New Roman" w:hAnsi="Times New Roman" w:cs="Times New Roman"/>
          <w:color w:val="000000" w:themeColor="text1"/>
        </w:rPr>
        <w:t>because of stereotypes that they are</w:t>
      </w:r>
      <w:r w:rsidRPr="00CC17CF">
        <w:rPr>
          <w:rFonts w:ascii="Times New Roman" w:hAnsi="Times New Roman" w:cs="Times New Roman"/>
        </w:rPr>
        <w:t xml:space="preserve"> “angry” and “aggressive.”</w:t>
      </w:r>
      <w:r w:rsidRPr="00CC17CF">
        <w:rPr>
          <w:rStyle w:val="FootnoteReference"/>
          <w:rFonts w:cs="Times New Roman"/>
        </w:rPr>
        <w:footnoteReference w:id="75"/>
      </w:r>
    </w:p>
    <w:p w14:paraId="3F4F31C0" w14:textId="77777777" w:rsidR="000B2C8D" w:rsidRPr="00CC17CF" w:rsidRDefault="000B2C8D" w:rsidP="000B2C8D">
      <w:pPr>
        <w:spacing w:after="0" w:line="240" w:lineRule="auto"/>
        <w:ind w:firstLine="720"/>
        <w:textAlignment w:val="baseline"/>
        <w:rPr>
          <w:rFonts w:ascii="Times New Roman" w:hAnsi="Times New Roman" w:cs="Times New Roman"/>
          <w:color w:val="000000"/>
        </w:rPr>
      </w:pPr>
    </w:p>
    <w:p w14:paraId="5C347A86" w14:textId="77777777" w:rsidR="000B2C8D" w:rsidRDefault="000B2C8D" w:rsidP="000B2C8D">
      <w:pPr>
        <w:spacing w:after="0" w:line="240" w:lineRule="auto"/>
        <w:textAlignment w:val="baseline"/>
        <w:rPr>
          <w:rFonts w:ascii="Times New Roman" w:hAnsi="Times New Roman" w:cs="Times New Roman"/>
          <w:color w:val="000000"/>
        </w:rPr>
      </w:pPr>
      <w:r w:rsidRPr="00CC17CF">
        <w:rPr>
          <w:rFonts w:ascii="Times New Roman" w:hAnsi="Times New Roman" w:cs="Times New Roman"/>
          <w:color w:val="000000"/>
        </w:rPr>
        <w:t>Women and girls who are pregnant or parenting are more likely to experience sexual harassment than their peers, due in part to the stereotype that they are more “promiscuous” because they have engaged in sexual intercourse in the past. For example, 56% of girls ages 14-18 who are pregnant or parenting are kissed or touched without their consent.</w:t>
      </w:r>
      <w:r w:rsidRPr="00CC17CF">
        <w:rPr>
          <w:rStyle w:val="FootnoteReference"/>
          <w:rFonts w:eastAsia="Times New Roman" w:cs="Times New Roman"/>
          <w:color w:val="000000"/>
        </w:rPr>
        <w:footnoteReference w:id="76"/>
      </w:r>
      <w:r w:rsidRPr="00CC17CF">
        <w:rPr>
          <w:rFonts w:ascii="Times New Roman" w:hAnsi="Times New Roman" w:cs="Times New Roman"/>
          <w:color w:val="000000"/>
        </w:rPr>
        <w:t xml:space="preserve"> </w:t>
      </w:r>
    </w:p>
    <w:p w14:paraId="644D5679" w14:textId="77777777" w:rsidR="000B2C8D" w:rsidRPr="00CC17CF" w:rsidRDefault="000B2C8D" w:rsidP="000B2C8D">
      <w:pPr>
        <w:spacing w:after="0" w:line="240" w:lineRule="auto"/>
        <w:textAlignment w:val="baseline"/>
        <w:rPr>
          <w:rFonts w:ascii="Times New Roman" w:hAnsi="Times New Roman" w:cs="Times New Roman"/>
          <w:color w:val="000000"/>
        </w:rPr>
      </w:pPr>
    </w:p>
    <w:p w14:paraId="05FB3A1A" w14:textId="77777777" w:rsidR="000B2C8D" w:rsidRDefault="000B2C8D" w:rsidP="000B2C8D">
      <w:pPr>
        <w:spacing w:after="0" w:line="240" w:lineRule="auto"/>
        <w:textAlignment w:val="baseline"/>
        <w:rPr>
          <w:rFonts w:ascii="Times New Roman" w:hAnsi="Times New Roman" w:cs="Times New Roman"/>
          <w:color w:val="000000"/>
        </w:rPr>
      </w:pPr>
      <w:r w:rsidRPr="00CC17CF">
        <w:rPr>
          <w:rFonts w:ascii="Times New Roman" w:hAnsi="Times New Roman" w:cs="Times New Roman"/>
          <w:color w:val="000000"/>
        </w:rPr>
        <w:t>LGBTQ students are more likely to experience sexual harassment than their peers. For example, more than half of LGBTQ students ages 13-21 are sexually harassed at school,</w:t>
      </w:r>
      <w:r w:rsidRPr="00CC17CF">
        <w:rPr>
          <w:rStyle w:val="FootnoteReference"/>
          <w:rFonts w:cs="Times New Roman"/>
        </w:rPr>
        <w:footnoteReference w:id="77"/>
      </w:r>
      <w:r w:rsidRPr="00CC17CF">
        <w:rPr>
          <w:rFonts w:ascii="Times New Roman" w:hAnsi="Times New Roman" w:cs="Times New Roman"/>
          <w:color w:val="000000"/>
        </w:rPr>
        <w:t xml:space="preserve"> and nearly 1 in 4 transgender and gender-nonconforming students are sexually assaulted during college.</w:t>
      </w:r>
      <w:r w:rsidRPr="00CC17CF">
        <w:rPr>
          <w:rStyle w:val="FootnoteReference"/>
          <w:rFonts w:eastAsia="Times New Roman" w:cs="Times New Roman"/>
          <w:color w:val="000000"/>
        </w:rPr>
        <w:footnoteReference w:id="78"/>
      </w:r>
      <w:r w:rsidRPr="00CC17CF">
        <w:rPr>
          <w:rFonts w:ascii="Times New Roman" w:hAnsi="Times New Roman" w:cs="Times New Roman"/>
          <w:color w:val="000000"/>
        </w:rPr>
        <w:t xml:space="preserve"> However, LGBTQ students are also less likely to</w:t>
      </w:r>
      <w:r w:rsidRPr="00CC17CF">
        <w:rPr>
          <w:rFonts w:ascii="Times New Roman" w:eastAsia="Times New Roman" w:hAnsi="Times New Roman" w:cs="Times New Roman"/>
          <w:color w:val="000000"/>
        </w:rPr>
        <w:t xml:space="preserve"> report</w:t>
      </w:r>
      <w:r w:rsidRPr="00CC17CF">
        <w:rPr>
          <w:rFonts w:ascii="Times New Roman" w:hAnsi="Times New Roman" w:cs="Times New Roman"/>
          <w:color w:val="000000"/>
        </w:rPr>
        <w:t xml:space="preserve"> sexual assault to school authorities or the police because they are rightfully concerned about further discrimination or retaliation due to their LGBTQ status.</w:t>
      </w:r>
      <w:r w:rsidRPr="00CC17CF">
        <w:rPr>
          <w:rStyle w:val="FootnoteReference"/>
          <w:rFonts w:eastAsia="Times New Roman" w:cs="Times New Roman"/>
          <w:color w:val="000000"/>
        </w:rPr>
        <w:footnoteReference w:id="79"/>
      </w:r>
      <w:r w:rsidRPr="00CC17CF">
        <w:rPr>
          <w:rFonts w:ascii="Times New Roman" w:hAnsi="Times New Roman" w:cs="Times New Roman"/>
          <w:color w:val="000000"/>
        </w:rPr>
        <w:t xml:space="preserve"> They are also less likely to be believed due to stereotypes that they are more “promiscuous” or bring the “attention” upon themselves. </w:t>
      </w:r>
    </w:p>
    <w:p w14:paraId="11F09844" w14:textId="77777777" w:rsidR="000B2C8D" w:rsidRPr="00CC17CF" w:rsidRDefault="000B2C8D" w:rsidP="000B2C8D">
      <w:pPr>
        <w:spacing w:after="0" w:line="240" w:lineRule="auto"/>
        <w:textAlignment w:val="baseline"/>
        <w:rPr>
          <w:rFonts w:ascii="Times New Roman" w:hAnsi="Times New Roman" w:cs="Times New Roman"/>
        </w:rPr>
      </w:pPr>
    </w:p>
    <w:p w14:paraId="560E319B" w14:textId="77777777" w:rsidR="000B2C8D" w:rsidRPr="001E48D7" w:rsidRDefault="000B2C8D" w:rsidP="000B2C8D">
      <w:pPr>
        <w:spacing w:after="0" w:line="240" w:lineRule="auto"/>
        <w:textAlignment w:val="baseline"/>
        <w:rPr>
          <w:rFonts w:ascii="Times New Roman" w:hAnsi="Times New Roman" w:cs="Times New Roman"/>
        </w:rPr>
      </w:pPr>
      <w:r w:rsidRPr="00CC17CF">
        <w:rPr>
          <w:rFonts w:ascii="Times New Roman" w:hAnsi="Times New Roman" w:cs="Times New Roman"/>
          <w:color w:val="000000"/>
        </w:rPr>
        <w:t xml:space="preserve">As the Department notes </w:t>
      </w:r>
      <w:r w:rsidRPr="00CC17CF">
        <w:rPr>
          <w:rFonts w:ascii="Times New Roman" w:eastAsia="Times New Roman" w:hAnsi="Times New Roman" w:cs="Times New Roman"/>
          <w:color w:val="000000"/>
        </w:rPr>
        <w:t>in the preamble,</w:t>
      </w:r>
      <w:r w:rsidRPr="00CC17CF">
        <w:rPr>
          <w:rStyle w:val="FootnoteReference"/>
          <w:rFonts w:eastAsia="Times New Roman" w:cs="Times New Roman"/>
          <w:color w:val="000000"/>
        </w:rPr>
        <w:footnoteReference w:id="80"/>
      </w:r>
      <w:r w:rsidRPr="00CC17CF">
        <w:rPr>
          <w:rFonts w:ascii="Times New Roman" w:hAnsi="Times New Roman" w:cs="Times New Roman"/>
          <w:color w:val="000000"/>
        </w:rPr>
        <w:t xml:space="preserve"> students with disabilities have different experiences, challenges, and needs.” But the proposed rules are</w:t>
      </w:r>
      <w:r w:rsidRPr="00CC17CF">
        <w:rPr>
          <w:rFonts w:ascii="Times New Roman" w:hAnsi="Times New Roman" w:cs="Times New Roman"/>
        </w:rPr>
        <w:t xml:space="preserve"> especially harmful to students with disabilities, </w:t>
      </w:r>
      <w:r w:rsidRPr="00CC17CF">
        <w:rPr>
          <w:rFonts w:ascii="Times New Roman" w:hAnsi="Times New Roman" w:cs="Times New Roman"/>
          <w:color w:val="000000"/>
        </w:rPr>
        <w:t>who already face additional barriers to equal access to education and are 2.9 times more likely than their peers to be sexually assaulted.</w:t>
      </w:r>
      <w:r w:rsidRPr="00CC17CF">
        <w:rPr>
          <w:rStyle w:val="FootnoteReference"/>
          <w:rFonts w:cs="Times New Roman"/>
          <w:color w:val="000000"/>
        </w:rPr>
        <w:footnoteReference w:id="81"/>
      </w:r>
      <w:r w:rsidRPr="00CC17CF">
        <w:rPr>
          <w:rFonts w:ascii="Times New Roman" w:hAnsi="Times New Roman" w:cs="Times New Roman"/>
          <w:color w:val="000000"/>
        </w:rPr>
        <w:t xml:space="preserve"> They are also less likely to be believed due to stereotypes about people with disabilities and often have greater difficulty describing the harassment they experience.</w:t>
      </w:r>
      <w:r w:rsidRPr="00CC17CF">
        <w:rPr>
          <w:rStyle w:val="FootnoteReference"/>
          <w:rFonts w:eastAsia="Times New Roman" w:cs="Times New Roman"/>
          <w:color w:val="000000"/>
        </w:rPr>
        <w:footnoteReference w:id="82"/>
      </w:r>
      <w:r w:rsidRPr="008319BB">
        <w:rPr>
          <w:rFonts w:ascii="Times New Roman" w:hAnsi="Times New Roman" w:cs="Times New Roman"/>
          <w:color w:val="000000"/>
        </w:rPr>
        <w:t xml:space="preserve"> </w:t>
      </w:r>
    </w:p>
    <w:p w14:paraId="7991FD64" w14:textId="77777777" w:rsidR="000B2C8D" w:rsidRPr="008319BB" w:rsidRDefault="000B2C8D" w:rsidP="000B2C8D">
      <w:pPr>
        <w:spacing w:after="0" w:line="240" w:lineRule="auto"/>
        <w:textAlignment w:val="baseline"/>
        <w:rPr>
          <w:rFonts w:ascii="Times New Roman" w:hAnsi="Times New Roman" w:cs="Times New Roman"/>
        </w:rPr>
      </w:pPr>
    </w:p>
    <w:p w14:paraId="70B2EFB8" w14:textId="77777777" w:rsidR="000B2C8D" w:rsidRPr="008319BB" w:rsidRDefault="000B2C8D" w:rsidP="000B2C8D">
      <w:pPr>
        <w:spacing w:after="0" w:line="240" w:lineRule="auto"/>
        <w:ind w:firstLine="720"/>
        <w:textAlignment w:val="baseline"/>
        <w:rPr>
          <w:rFonts w:ascii="Times New Roman" w:hAnsi="Times New Roman" w:cs="Times New Roman"/>
        </w:rPr>
      </w:pPr>
      <w:r w:rsidRPr="008319BB">
        <w:rPr>
          <w:rFonts w:ascii="Times New Roman" w:hAnsi="Times New Roman" w:cs="Times New Roman"/>
        </w:rPr>
        <w:t>This presumption conflicts with the current Title IX rules</w:t>
      </w:r>
      <w:r>
        <w:rPr>
          <w:rStyle w:val="FootnoteReference"/>
          <w:rFonts w:cs="Times New Roman"/>
        </w:rPr>
        <w:footnoteReference w:id="83"/>
      </w:r>
      <w:r w:rsidRPr="008319BB">
        <w:rPr>
          <w:rFonts w:ascii="Times New Roman" w:hAnsi="Times New Roman" w:cs="Times New Roman"/>
        </w:rPr>
        <w:t xml:space="preserve"> and other proposed rules,</w:t>
      </w:r>
      <w:r>
        <w:rPr>
          <w:rStyle w:val="FootnoteReference"/>
          <w:rFonts w:cs="Times New Roman"/>
        </w:rPr>
        <w:footnoteReference w:id="84"/>
      </w:r>
      <w:r w:rsidRPr="008319BB">
        <w:rPr>
          <w:rFonts w:ascii="Times New Roman" w:hAnsi="Times New Roman" w:cs="Times New Roman"/>
        </w:rPr>
        <w:t xml:space="preserve"> which require that schools provide “equitable” resolution of complaints. A presumption in favor of one party against the other is not equitable. This proposed </w:t>
      </w:r>
      <w:r>
        <w:rPr>
          <w:rFonts w:ascii="Times New Roman" w:hAnsi="Times New Roman" w:cs="Times New Roman"/>
        </w:rPr>
        <w:t>presumption</w:t>
      </w:r>
      <w:r w:rsidRPr="008319BB">
        <w:rPr>
          <w:rFonts w:ascii="Times New Roman" w:hAnsi="Times New Roman" w:cs="Times New Roman"/>
        </w:rPr>
        <w:t xml:space="preserve"> </w:t>
      </w:r>
      <w:r>
        <w:rPr>
          <w:rFonts w:ascii="Times New Roman" w:hAnsi="Times New Roman" w:cs="Times New Roman"/>
        </w:rPr>
        <w:t xml:space="preserve">is also in significant tension with </w:t>
      </w:r>
      <w:r w:rsidRPr="008319BB">
        <w:rPr>
          <w:rFonts w:ascii="Times New Roman" w:hAnsi="Times New Roman" w:cs="Times New Roman"/>
        </w:rPr>
        <w:t>proposed § 106.45(b)(1)(ii), which states that “credibility determinations may not be based on a person’s status as a complainant” or “respondent.”</w:t>
      </w:r>
    </w:p>
    <w:p w14:paraId="1BA35291" w14:textId="77777777" w:rsidR="000B2C8D" w:rsidRPr="008319BB" w:rsidRDefault="000B2C8D" w:rsidP="000B2C8D">
      <w:pPr>
        <w:spacing w:after="0" w:line="240" w:lineRule="auto"/>
        <w:ind w:firstLine="720"/>
        <w:textAlignment w:val="baseline"/>
        <w:rPr>
          <w:rFonts w:ascii="Times New Roman" w:hAnsi="Times New Roman" w:cs="Times New Roman"/>
        </w:rPr>
      </w:pPr>
    </w:p>
    <w:p w14:paraId="63A34DBB" w14:textId="77777777" w:rsidR="000B2C8D" w:rsidRPr="008319BB" w:rsidRDefault="000B2C8D" w:rsidP="000B2C8D">
      <w:pPr>
        <w:pStyle w:val="ListParagraph"/>
        <w:numPr>
          <w:ilvl w:val="0"/>
          <w:numId w:val="11"/>
        </w:numPr>
        <w:spacing w:after="0"/>
        <w:rPr>
          <w:rFonts w:ascii="Times New Roman" w:hAnsi="Times New Roman" w:cs="Times New Roman"/>
          <w:b/>
          <w:bCs/>
        </w:rPr>
      </w:pPr>
      <w:r w:rsidRPr="008319BB">
        <w:rPr>
          <w:rFonts w:ascii="Times New Roman" w:hAnsi="Times New Roman" w:cs="Times New Roman"/>
          <w:b/>
          <w:bCs/>
        </w:rPr>
        <w:t>The proposed rules would improperly require survivors</w:t>
      </w:r>
      <w:r>
        <w:rPr>
          <w:rFonts w:ascii="Times New Roman" w:hAnsi="Times New Roman" w:cs="Times New Roman"/>
          <w:b/>
          <w:bCs/>
        </w:rPr>
        <w:t xml:space="preserve"> and witnesses</w:t>
      </w:r>
      <w:r w:rsidRPr="008319BB">
        <w:rPr>
          <w:rFonts w:ascii="Times New Roman" w:hAnsi="Times New Roman" w:cs="Times New Roman"/>
          <w:b/>
          <w:bCs/>
        </w:rPr>
        <w:t xml:space="preserve"> in college and graduate school to submit to live cross-examination by their named harasser’s advisor of choice, causing further trauma.</w:t>
      </w:r>
    </w:p>
    <w:p w14:paraId="0AE9DC99" w14:textId="77777777" w:rsidR="000B2C8D" w:rsidRPr="008319BB" w:rsidRDefault="000B2C8D" w:rsidP="000B2C8D">
      <w:pPr>
        <w:spacing w:after="0"/>
        <w:rPr>
          <w:rFonts w:ascii="Times New Roman" w:hAnsi="Times New Roman" w:cs="Times New Roman"/>
          <w:b/>
        </w:rPr>
      </w:pPr>
    </w:p>
    <w:p w14:paraId="48C08F01" w14:textId="77777777" w:rsidR="000B2C8D" w:rsidRPr="008319BB" w:rsidRDefault="000B2C8D" w:rsidP="000B2C8D">
      <w:pPr>
        <w:ind w:firstLine="720"/>
        <w:rPr>
          <w:rFonts w:ascii="Times New Roman" w:hAnsi="Times New Roman" w:cs="Times New Roman"/>
        </w:rPr>
      </w:pPr>
      <w:r w:rsidRPr="008319BB">
        <w:rPr>
          <w:rFonts w:ascii="Times New Roman" w:hAnsi="Times New Roman" w:cs="Times New Roman"/>
        </w:rPr>
        <w:t xml:space="preserve">Proposed rule § 106.45(b)(3)(vii) requires colleges and graduate schools to conduct a “live hearing,” and </w:t>
      </w:r>
      <w:r>
        <w:rPr>
          <w:rFonts w:ascii="Times New Roman" w:hAnsi="Times New Roman" w:cs="Times New Roman"/>
        </w:rPr>
        <w:t xml:space="preserve">requires </w:t>
      </w:r>
      <w:r w:rsidRPr="008319BB">
        <w:rPr>
          <w:rFonts w:ascii="Times New Roman" w:hAnsi="Times New Roman" w:cs="Times New Roman"/>
        </w:rPr>
        <w:t xml:space="preserve">parties and witnesses </w:t>
      </w:r>
      <w:r>
        <w:rPr>
          <w:rFonts w:ascii="Times New Roman" w:hAnsi="Times New Roman" w:cs="Times New Roman"/>
        </w:rPr>
        <w:t>to</w:t>
      </w:r>
      <w:r w:rsidRPr="008319BB">
        <w:rPr>
          <w:rFonts w:ascii="Times New Roman" w:hAnsi="Times New Roman" w:cs="Times New Roman"/>
        </w:rPr>
        <w:t xml:space="preserve"> submit to cross-examination by the other party’s “advisor of choice”</w:t>
      </w:r>
      <w:r w:rsidRPr="008319BB">
        <w:rPr>
          <w:rFonts w:ascii="Times New Roman" w:hAnsi="Times New Roman" w:cs="Times New Roman"/>
        </w:rPr>
        <w:sym w:font="Symbol" w:char="F0BE"/>
      </w:r>
      <w:r w:rsidRPr="008319BB">
        <w:rPr>
          <w:rFonts w:ascii="Times New Roman" w:hAnsi="Times New Roman" w:cs="Times New Roman"/>
        </w:rPr>
        <w:t xml:space="preserve"> often an attorney who is prepared to grill the survivor about the traumatic details of the assault</w:t>
      </w:r>
      <w:r>
        <w:rPr>
          <w:rFonts w:ascii="Times New Roman" w:hAnsi="Times New Roman" w:cs="Times New Roman"/>
        </w:rPr>
        <w:t>, or possibly</w:t>
      </w:r>
      <w:r w:rsidRPr="008319BB">
        <w:rPr>
          <w:rFonts w:ascii="Times New Roman" w:hAnsi="Times New Roman" w:cs="Times New Roman"/>
        </w:rPr>
        <w:t xml:space="preserve"> an angry parent or a close friend of the named </w:t>
      </w:r>
      <w:r>
        <w:rPr>
          <w:rFonts w:ascii="Times New Roman" w:hAnsi="Times New Roman" w:cs="Times New Roman"/>
        </w:rPr>
        <w:t>harasser</w:t>
      </w:r>
      <w:r w:rsidRPr="008319BB">
        <w:rPr>
          <w:rFonts w:ascii="Times New Roman" w:hAnsi="Times New Roman" w:cs="Times New Roman"/>
        </w:rPr>
        <w:t>. The adversarial and contentious nature of cross-examination would further traumatize college and graduate school survivors who seek help through Title IX. Being asked detailed, personal, and humiliating questions often rooted in gender stereotypes and rape myths that tend to blame victims for the assault they experienced</w:t>
      </w:r>
      <w:r w:rsidRPr="1627AC4F">
        <w:rPr>
          <w:rStyle w:val="FootnoteReference"/>
          <w:rFonts w:cs="Times New Roman"/>
        </w:rPr>
        <w:footnoteReference w:id="85"/>
      </w:r>
      <w:r w:rsidRPr="008319BB">
        <w:rPr>
          <w:rFonts w:ascii="Times New Roman" w:hAnsi="Times New Roman" w:cs="Times New Roman"/>
        </w:rPr>
        <w:t xml:space="preserve"> would understandably discourage many students—parties and witnesses— from participating in a Title IX grievance process</w:t>
      </w:r>
      <w:r>
        <w:rPr>
          <w:rFonts w:ascii="Times New Roman" w:hAnsi="Times New Roman" w:cs="Times New Roman"/>
        </w:rPr>
        <w:t>, chilling those who have experienced or witnessed harassment from coming forward</w:t>
      </w:r>
      <w:r w:rsidRPr="008319BB">
        <w:rPr>
          <w:rFonts w:ascii="Times New Roman" w:hAnsi="Times New Roman" w:cs="Times New Roman"/>
        </w:rPr>
        <w:t xml:space="preserve">. </w:t>
      </w:r>
      <w:r>
        <w:rPr>
          <w:rFonts w:ascii="Times New Roman" w:hAnsi="Times New Roman" w:cs="Times New Roman"/>
        </w:rPr>
        <w:t>Nor would the proposed rules entitle the</w:t>
      </w:r>
      <w:r w:rsidRPr="008319BB">
        <w:rPr>
          <w:rFonts w:ascii="Times New Roman" w:hAnsi="Times New Roman" w:cs="Times New Roman"/>
        </w:rPr>
        <w:t xml:space="preserve"> survivor to the procedural protections that witnesses have during cross-examination in the criminal </w:t>
      </w:r>
      <w:r>
        <w:rPr>
          <w:rFonts w:ascii="Times New Roman" w:hAnsi="Times New Roman" w:cs="Times New Roman"/>
        </w:rPr>
        <w:t xml:space="preserve">court </w:t>
      </w:r>
      <w:r w:rsidRPr="008319BB">
        <w:rPr>
          <w:rFonts w:ascii="Times New Roman" w:hAnsi="Times New Roman" w:cs="Times New Roman"/>
        </w:rPr>
        <w:t xml:space="preserve">proceedings that </w:t>
      </w:r>
      <w:r>
        <w:rPr>
          <w:rFonts w:ascii="Times New Roman" w:hAnsi="Times New Roman" w:cs="Times New Roman"/>
        </w:rPr>
        <w:t>apparently</w:t>
      </w:r>
      <w:r w:rsidRPr="008319BB">
        <w:rPr>
          <w:rFonts w:ascii="Times New Roman" w:hAnsi="Times New Roman" w:cs="Times New Roman"/>
        </w:rPr>
        <w:t xml:space="preserve"> inspired this requirement; schools would not be required to apply rules of evidence or make a prosecuting attorney available to object or a judge available to rule on objections.</w:t>
      </w:r>
      <w:r>
        <w:rPr>
          <w:rFonts w:ascii="Times New Roman" w:hAnsi="Times New Roman" w:cs="Times New Roman"/>
        </w:rPr>
        <w:t xml:space="preserve"> </w:t>
      </w:r>
      <w:r w:rsidRPr="008319BB">
        <w:rPr>
          <w:rFonts w:ascii="Times New Roman" w:hAnsi="Times New Roman" w:cs="Times New Roman"/>
        </w:rPr>
        <w:t>Th</w:t>
      </w:r>
      <w:r>
        <w:rPr>
          <w:rFonts w:ascii="Times New Roman" w:hAnsi="Times New Roman" w:cs="Times New Roman"/>
        </w:rPr>
        <w:t>e live cross examination requirement</w:t>
      </w:r>
      <w:r w:rsidRPr="008319BB">
        <w:rPr>
          <w:rFonts w:ascii="Times New Roman" w:hAnsi="Times New Roman" w:cs="Times New Roman"/>
        </w:rPr>
        <w:t xml:space="preserve"> would also lead to</w:t>
      </w:r>
      <w:r>
        <w:rPr>
          <w:rFonts w:ascii="Times New Roman" w:hAnsi="Times New Roman" w:cs="Times New Roman"/>
        </w:rPr>
        <w:t xml:space="preserve"> sharp</w:t>
      </w:r>
      <w:r w:rsidRPr="008319BB">
        <w:rPr>
          <w:rFonts w:ascii="Times New Roman" w:hAnsi="Times New Roman" w:cs="Times New Roman"/>
        </w:rPr>
        <w:t xml:space="preserve"> inequities if one party can afford an attorney and the other cannot.</w:t>
      </w:r>
    </w:p>
    <w:p w14:paraId="1E3B06C3" w14:textId="77777777" w:rsidR="000B2C8D" w:rsidRPr="008319BB" w:rsidRDefault="000B2C8D" w:rsidP="000B2C8D">
      <w:pPr>
        <w:spacing w:after="0" w:line="240" w:lineRule="auto"/>
        <w:ind w:firstLine="720"/>
        <w:textAlignment w:val="baseline"/>
        <w:rPr>
          <w:rFonts w:ascii="Times New Roman" w:eastAsia="Times New Roman" w:hAnsi="Times New Roman" w:cs="Times New Roman"/>
          <w:color w:val="000000"/>
        </w:rPr>
      </w:pPr>
      <w:r>
        <w:rPr>
          <w:rFonts w:ascii="Times New Roman" w:hAnsi="Times New Roman" w:cs="Times New Roman"/>
        </w:rPr>
        <w:t xml:space="preserve">Neither the Constitution nor any other federal law requires live cross examination in school conduct proceedings. </w:t>
      </w:r>
      <w:r w:rsidRPr="008319BB">
        <w:rPr>
          <w:rFonts w:ascii="Times New Roman" w:hAnsi="Times New Roman" w:cs="Times New Roman"/>
        </w:rPr>
        <w:t>The Supreme Court does not require any form of cross-examination (</w:t>
      </w:r>
      <w:r>
        <w:rPr>
          <w:rFonts w:ascii="Times New Roman" w:hAnsi="Times New Roman" w:cs="Times New Roman"/>
        </w:rPr>
        <w:t>live</w:t>
      </w:r>
      <w:r w:rsidRPr="008319BB">
        <w:rPr>
          <w:rFonts w:ascii="Times New Roman" w:hAnsi="Times New Roman" w:cs="Times New Roman"/>
        </w:rPr>
        <w:t xml:space="preserve"> or indirect) in disciplinary proceedings in public schools</w:t>
      </w:r>
      <w:r>
        <w:rPr>
          <w:rFonts w:ascii="Times New Roman" w:hAnsi="Times New Roman" w:cs="Times New Roman"/>
        </w:rPr>
        <w:t xml:space="preserve"> under the Due Process clause</w:t>
      </w:r>
      <w:r w:rsidRPr="008319BB">
        <w:rPr>
          <w:rFonts w:ascii="Times New Roman" w:hAnsi="Times New Roman" w:cs="Times New Roman"/>
        </w:rPr>
        <w:t>.</w:t>
      </w:r>
      <w:r w:rsidRPr="1627AC4F">
        <w:rPr>
          <w:rStyle w:val="FootnoteReference"/>
          <w:rFonts w:cs="Times New Roman"/>
        </w:rPr>
        <w:footnoteReference w:id="86"/>
      </w:r>
      <w:r w:rsidRPr="008319BB">
        <w:rPr>
          <w:rFonts w:ascii="Times New Roman" w:hAnsi="Times New Roman" w:cs="Times New Roman"/>
        </w:rPr>
        <w:t xml:space="preserve"> </w:t>
      </w:r>
      <w:r>
        <w:rPr>
          <w:rFonts w:ascii="Times New Roman" w:hAnsi="Times New Roman" w:cs="Times New Roman"/>
        </w:rPr>
        <w:t>Instead, t</w:t>
      </w:r>
      <w:r w:rsidRPr="008319BB">
        <w:rPr>
          <w:rFonts w:ascii="Times New Roman" w:hAnsi="Times New Roman" w:cs="Times New Roman"/>
        </w:rPr>
        <w:t>he Court has explicitly said that a 10-day suspension does not require “the opportunity … to confront and cross-examine witnesses”</w:t>
      </w:r>
      <w:r w:rsidRPr="1627AC4F">
        <w:rPr>
          <w:rStyle w:val="FootnoteReference"/>
          <w:rFonts w:cs="Times New Roman"/>
        </w:rPr>
        <w:footnoteReference w:id="87"/>
      </w:r>
      <w:r w:rsidRPr="008319BB">
        <w:rPr>
          <w:rFonts w:ascii="Times New Roman" w:hAnsi="Times New Roman" w:cs="Times New Roman"/>
        </w:rPr>
        <w:t xml:space="preserve"> and has approved at least one circuit court decision holding that expulsion does not require “a full-dress judicial hearing, with the right to cross-examine witnesses.”</w:t>
      </w:r>
      <w:r w:rsidRPr="1627AC4F">
        <w:rPr>
          <w:rStyle w:val="FootnoteReference"/>
          <w:rFonts w:cs="Times New Roman"/>
        </w:rPr>
        <w:footnoteReference w:id="88"/>
      </w:r>
      <w:r>
        <w:rPr>
          <w:rFonts w:ascii="Times New Roman" w:hAnsi="Times New Roman" w:cs="Times New Roman"/>
        </w:rPr>
        <w:t>T</w:t>
      </w:r>
      <w:r w:rsidRPr="008319BB">
        <w:rPr>
          <w:rFonts w:ascii="Times New Roman" w:hAnsi="Times New Roman" w:cs="Times New Roman"/>
        </w:rPr>
        <w:t xml:space="preserve">he vast majority of courts that have reached the issue have </w:t>
      </w:r>
      <w:r>
        <w:rPr>
          <w:rFonts w:ascii="Times New Roman" w:hAnsi="Times New Roman" w:cs="Times New Roman"/>
        </w:rPr>
        <w:t>agreed</w:t>
      </w:r>
      <w:r w:rsidRPr="008319BB">
        <w:rPr>
          <w:rFonts w:ascii="Times New Roman" w:hAnsi="Times New Roman" w:cs="Times New Roman"/>
        </w:rPr>
        <w:t xml:space="preserve"> that live cross-examination is not required in public school disciplinary proceedings, as long as there is a meaningful opportunity to have questions posed by a hearing examiner.</w:t>
      </w:r>
      <w:r w:rsidRPr="1627AC4F">
        <w:rPr>
          <w:rStyle w:val="FootnoteReference"/>
          <w:rFonts w:cs="Times New Roman"/>
        </w:rPr>
        <w:footnoteReference w:id="89"/>
      </w:r>
      <w:r w:rsidRPr="008319B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The Department</w:t>
      </w:r>
      <w:r w:rsidRPr="008319BB">
        <w:rPr>
          <w:rFonts w:ascii="Times New Roman" w:eastAsia="Times New Roman" w:hAnsi="Times New Roman" w:cs="Times New Roman"/>
          <w:color w:val="000000"/>
        </w:rPr>
        <w:t xml:space="preserve"> itself admits that written questions submitted by students or oral questions asked by a neutral school official are </w:t>
      </w:r>
      <w:r>
        <w:rPr>
          <w:rFonts w:ascii="Times New Roman" w:eastAsia="Times New Roman" w:hAnsi="Times New Roman" w:cs="Times New Roman"/>
          <w:color w:val="000000"/>
        </w:rPr>
        <w:t xml:space="preserve">fair and </w:t>
      </w:r>
      <w:r w:rsidRPr="008319BB">
        <w:rPr>
          <w:rFonts w:ascii="Times New Roman" w:eastAsia="Times New Roman" w:hAnsi="Times New Roman" w:cs="Times New Roman"/>
          <w:color w:val="000000"/>
        </w:rPr>
        <w:t>effective ways to discern the truth in K-12 schools,</w:t>
      </w:r>
      <w:r>
        <w:rPr>
          <w:rStyle w:val="FootnoteReference"/>
          <w:rFonts w:eastAsia="Times New Roman" w:cs="Times New Roman"/>
          <w:color w:val="000000"/>
        </w:rPr>
        <w:footnoteReference w:id="90"/>
      </w:r>
      <w:r w:rsidRPr="008319BB">
        <w:rPr>
          <w:rFonts w:ascii="Times New Roman" w:eastAsia="Times New Roman" w:hAnsi="Times New Roman" w:cs="Times New Roman"/>
          <w:color w:val="000000"/>
        </w:rPr>
        <w:t xml:space="preserve"> and </w:t>
      </w:r>
      <w:r>
        <w:rPr>
          <w:rFonts w:ascii="Times New Roman" w:eastAsia="Times New Roman" w:hAnsi="Times New Roman" w:cs="Times New Roman"/>
          <w:color w:val="000000"/>
        </w:rPr>
        <w:t>proposes retaining that method</w:t>
      </w:r>
      <w:r w:rsidRPr="008319BB">
        <w:rPr>
          <w:rFonts w:ascii="Times New Roman" w:eastAsia="Times New Roman" w:hAnsi="Times New Roman" w:cs="Times New Roman"/>
          <w:color w:val="000000"/>
        </w:rPr>
        <w:t xml:space="preserve"> for K-12 proceedings. </w:t>
      </w:r>
      <w:r>
        <w:rPr>
          <w:rFonts w:ascii="Times New Roman" w:eastAsia="Times New Roman" w:hAnsi="Times New Roman" w:cs="Times New Roman"/>
          <w:color w:val="000000"/>
        </w:rPr>
        <w:t>the Department</w:t>
      </w:r>
      <w:r w:rsidRPr="008319BB">
        <w:rPr>
          <w:rFonts w:ascii="Times New Roman" w:eastAsia="Times New Roman" w:hAnsi="Times New Roman" w:cs="Times New Roman"/>
          <w:color w:val="000000"/>
        </w:rPr>
        <w:t xml:space="preserve"> has not explained why </w:t>
      </w:r>
      <w:r>
        <w:rPr>
          <w:rFonts w:ascii="Times New Roman" w:eastAsia="Times New Roman" w:hAnsi="Times New Roman" w:cs="Times New Roman"/>
          <w:color w:val="000000"/>
        </w:rPr>
        <w:t>the</w:t>
      </w:r>
      <w:r w:rsidRPr="008319BB">
        <w:rPr>
          <w:rFonts w:ascii="Times New Roman" w:eastAsia="Times New Roman" w:hAnsi="Times New Roman" w:cs="Times New Roman"/>
          <w:color w:val="000000"/>
        </w:rPr>
        <w:t xml:space="preserve"> processes that it considers effective for </w:t>
      </w:r>
      <w:r>
        <w:rPr>
          <w:rFonts w:ascii="Times New Roman" w:eastAsia="Times New Roman" w:hAnsi="Times New Roman" w:cs="Times New Roman"/>
          <w:color w:val="000000"/>
        </w:rPr>
        <w:t xml:space="preserve">addressing harassment in proceedings involving </w:t>
      </w:r>
      <w:r w:rsidRPr="008319BB">
        <w:rPr>
          <w:rFonts w:ascii="Times New Roman" w:eastAsia="Times New Roman" w:hAnsi="Times New Roman" w:cs="Times New Roman"/>
          <w:color w:val="000000"/>
        </w:rPr>
        <w:t xml:space="preserve">17- or 18-year-old students in high school would be ineffective for 17- or 18-year-old students in college. </w:t>
      </w:r>
    </w:p>
    <w:p w14:paraId="597F21CF" w14:textId="77777777" w:rsidR="000B2C8D" w:rsidRPr="008319BB" w:rsidRDefault="000B2C8D" w:rsidP="000B2C8D">
      <w:pPr>
        <w:spacing w:after="0" w:line="240" w:lineRule="auto"/>
        <w:ind w:firstLine="720"/>
        <w:textAlignment w:val="baseline"/>
        <w:rPr>
          <w:rFonts w:ascii="Times New Roman" w:hAnsi="Times New Roman" w:cs="Times New Roman"/>
        </w:rPr>
      </w:pPr>
    </w:p>
    <w:p w14:paraId="7D40DA29" w14:textId="77777777" w:rsidR="000B2C8D" w:rsidRDefault="000B2C8D" w:rsidP="000B2C8D">
      <w:pPr>
        <w:spacing w:after="0" w:line="240" w:lineRule="auto"/>
        <w:ind w:firstLine="720"/>
        <w:textAlignment w:val="baseline"/>
        <w:rPr>
          <w:rFonts w:ascii="Times New Roman" w:hAnsi="Times New Roman" w:cs="Times New Roman"/>
        </w:rPr>
      </w:pPr>
      <w:r w:rsidRPr="008319BB">
        <w:rPr>
          <w:rFonts w:ascii="Times New Roman" w:hAnsi="Times New Roman" w:cs="Times New Roman"/>
          <w:color w:val="000000"/>
        </w:rPr>
        <w:t xml:space="preserve">Not surprisingly, Title IX and student conduct experts oppose these proposed rules. The Association of Title IX Administrators (ATIXA) announced in October 2018 </w:t>
      </w:r>
      <w:r w:rsidRPr="008319BB">
        <w:rPr>
          <w:rFonts w:ascii="Times New Roman" w:hAnsi="Times New Roman" w:cs="Times New Roman"/>
        </w:rPr>
        <w:t xml:space="preserve">that it </w:t>
      </w:r>
      <w:r w:rsidRPr="008319BB">
        <w:rPr>
          <w:rStyle w:val="Hyperlink"/>
          <w:rFonts w:ascii="Times New Roman" w:hAnsi="Times New Roman" w:cs="Times New Roman"/>
        </w:rPr>
        <w:t xml:space="preserve">opposes </w:t>
      </w:r>
      <w:r w:rsidRPr="008319BB">
        <w:rPr>
          <w:rStyle w:val="Hyperlink"/>
          <w:rFonts w:ascii="Times New Roman" w:eastAsia="Times New Roman" w:hAnsi="Times New Roman" w:cs="Times New Roman"/>
        </w:rPr>
        <w:t>live, adversarial cross-examination</w:t>
      </w:r>
      <w:r w:rsidRPr="008319BB">
        <w:rPr>
          <w:rFonts w:ascii="Times New Roman" w:eastAsia="Times New Roman" w:hAnsi="Times New Roman" w:cs="Times New Roman"/>
          <w:color w:val="000000"/>
        </w:rPr>
        <w:t xml:space="preserve">, instead </w:t>
      </w:r>
      <w:r>
        <w:rPr>
          <w:rFonts w:ascii="Times New Roman" w:eastAsia="Times New Roman" w:hAnsi="Times New Roman" w:cs="Times New Roman"/>
          <w:color w:val="000000"/>
        </w:rPr>
        <w:t>stating,</w:t>
      </w:r>
      <w:r w:rsidRPr="008319BB">
        <w:rPr>
          <w:rFonts w:ascii="Times New Roman" w:eastAsia="Times New Roman" w:hAnsi="Times New Roman" w:cs="Times New Roman"/>
          <w:color w:val="000000"/>
        </w:rPr>
        <w:t xml:space="preserve"> “investigators should solicit questions from the parties, and pose those questions the investigators deem appropriate in the investigation interviews.”</w:t>
      </w:r>
      <w:r w:rsidRPr="1627AC4F">
        <w:rPr>
          <w:rStyle w:val="FootnoteReference"/>
          <w:rFonts w:eastAsia="Times New Roman" w:cs="Times New Roman"/>
          <w:color w:val="000000"/>
        </w:rPr>
        <w:footnoteReference w:id="91"/>
      </w:r>
      <w:r w:rsidRPr="008319BB">
        <w:rPr>
          <w:rFonts w:ascii="Times New Roman" w:hAnsi="Times New Roman" w:cs="Times New Roman"/>
          <w:color w:val="000000"/>
        </w:rPr>
        <w:t xml:space="preserve"> The </w:t>
      </w:r>
      <w:r w:rsidRPr="008319BB">
        <w:rPr>
          <w:rFonts w:ascii="Times New Roman" w:hAnsi="Times New Roman" w:cs="Times New Roman"/>
        </w:rPr>
        <w:t>Association for Student Conduct Administration (ASCA) agrees that schools should “limit[] advisors’ participation in student conduct proceedings.”</w:t>
      </w:r>
      <w:r w:rsidRPr="1627AC4F">
        <w:rPr>
          <w:rStyle w:val="FootnoteReference"/>
          <w:rFonts w:cs="Times New Roman"/>
        </w:rPr>
        <w:footnoteReference w:id="92"/>
      </w:r>
      <w:r w:rsidRPr="008319BB">
        <w:rPr>
          <w:rFonts w:ascii="Times New Roman" w:hAnsi="Times New Roman" w:cs="Times New Roman"/>
        </w:rPr>
        <w:t xml:space="preserve"> The American Bar Association recommends that schools provide “the opportunity for both parties to ask questions through the hearing chair.”</w:t>
      </w:r>
      <w:bookmarkStart w:id="17" w:name="_Ref531578145"/>
      <w:r w:rsidRPr="1627AC4F">
        <w:rPr>
          <w:rStyle w:val="FootnoteReference"/>
          <w:rFonts w:cs="Times New Roman"/>
        </w:rPr>
        <w:footnoteReference w:id="93"/>
      </w:r>
      <w:bookmarkEnd w:id="17"/>
      <w:r w:rsidRPr="008319BB">
        <w:rPr>
          <w:rFonts w:ascii="Times New Roman" w:hAnsi="Times New Roman" w:cs="Times New Roman"/>
        </w:rPr>
        <w:t xml:space="preserve"> </w:t>
      </w:r>
    </w:p>
    <w:p w14:paraId="3BFE608A" w14:textId="77777777" w:rsidR="000B2C8D" w:rsidRDefault="000B2C8D" w:rsidP="000B2C8D">
      <w:pPr>
        <w:spacing w:after="0" w:line="240" w:lineRule="auto"/>
        <w:ind w:firstLine="720"/>
        <w:textAlignment w:val="baseline"/>
        <w:rPr>
          <w:rFonts w:ascii="Times New Roman" w:hAnsi="Times New Roman" w:cs="Times New Roman"/>
        </w:rPr>
      </w:pPr>
    </w:p>
    <w:p w14:paraId="28CA5B89" w14:textId="77777777" w:rsidR="000B2C8D" w:rsidRPr="008319BB" w:rsidRDefault="000B2C8D" w:rsidP="000B2C8D">
      <w:pPr>
        <w:pStyle w:val="ListParagraph"/>
        <w:numPr>
          <w:ilvl w:val="0"/>
          <w:numId w:val="11"/>
        </w:numPr>
        <w:spacing w:after="0"/>
        <w:rPr>
          <w:rFonts w:ascii="Times New Roman" w:hAnsi="Times New Roman" w:cs="Times New Roman"/>
          <w:b/>
          <w:bCs/>
        </w:rPr>
      </w:pPr>
      <w:r w:rsidRPr="008319BB">
        <w:rPr>
          <w:rFonts w:ascii="Times New Roman" w:hAnsi="Times New Roman" w:cs="Times New Roman"/>
          <w:b/>
          <w:bCs/>
        </w:rPr>
        <w:t xml:space="preserve">The proposed rules would allow schools to pressure survivors into traumatizing mediation procedures with their assailants. </w:t>
      </w:r>
    </w:p>
    <w:p w14:paraId="76266298" w14:textId="77777777" w:rsidR="000B2C8D" w:rsidRPr="008319BB" w:rsidRDefault="000B2C8D" w:rsidP="000B2C8D">
      <w:pPr>
        <w:spacing w:after="0"/>
        <w:rPr>
          <w:rFonts w:ascii="Times New Roman" w:hAnsi="Times New Roman" w:cs="Times New Roman"/>
          <w:b/>
        </w:rPr>
      </w:pPr>
    </w:p>
    <w:p w14:paraId="39A15A87" w14:textId="77777777" w:rsidR="000B2C8D" w:rsidRPr="008319BB" w:rsidRDefault="000B2C8D" w:rsidP="000B2C8D">
      <w:pPr>
        <w:ind w:firstLine="720"/>
        <w:rPr>
          <w:rFonts w:ascii="Times New Roman" w:hAnsi="Times New Roman" w:cs="Times New Roman"/>
        </w:rPr>
      </w:pPr>
      <w:r w:rsidRPr="008319BB">
        <w:rPr>
          <w:rFonts w:ascii="Times New Roman" w:hAnsi="Times New Roman" w:cs="Times New Roman"/>
        </w:rPr>
        <w:t xml:space="preserve">Proposed </w:t>
      </w:r>
      <w:r>
        <w:rPr>
          <w:rFonts w:ascii="Times New Roman" w:hAnsi="Times New Roman" w:cs="Times New Roman"/>
        </w:rPr>
        <w:t>§</w:t>
      </w:r>
      <w:r w:rsidRPr="008319BB">
        <w:rPr>
          <w:rFonts w:ascii="Times New Roman" w:hAnsi="Times New Roman" w:cs="Times New Roman"/>
        </w:rPr>
        <w:t xml:space="preserve"> 106.45(b)(6) would allow schools to use “any informal resolution process, such as mediation” to resolve a complaint of sexual harassment, as long as the school obtains the students’ “voluntary, written consent.” Once consent is obtained and the informal process begins, schools may “preclude[] the parties from resuming a formal complaint.” </w:t>
      </w:r>
    </w:p>
    <w:p w14:paraId="7E1AC9E0" w14:textId="77777777" w:rsidR="000B2C8D" w:rsidRPr="0057690F" w:rsidRDefault="000B2C8D" w:rsidP="000B2C8D">
      <w:pPr>
        <w:ind w:firstLine="720"/>
        <w:rPr>
          <w:rFonts w:ascii="Times New Roman" w:hAnsi="Times New Roman" w:cs="Times New Roman"/>
          <w:b/>
          <w:bCs/>
        </w:rPr>
      </w:pPr>
      <w:r w:rsidRPr="008319BB">
        <w:rPr>
          <w:rFonts w:ascii="Times New Roman" w:hAnsi="Times New Roman" w:cs="Times New Roman"/>
        </w:rPr>
        <w:t>Mediation is a strategy often used in schools to resolve peer conflict, where both sides must take responsibility for their actions and come to a compromise. Mediation is never appropriate for resolving sexual assault or harassment, even on a voluntary basis. Survivors should not be pressured to “work things out” with their assailant (as though they share responsibility for the assault) or exposed to the risk of being retraumatized</w:t>
      </w:r>
      <w:r>
        <w:rPr>
          <w:rFonts w:ascii="Times New Roman" w:hAnsi="Times New Roman" w:cs="Times New Roman"/>
        </w:rPr>
        <w:t>, coerced, or bullied</w:t>
      </w:r>
      <w:r w:rsidRPr="008319BB">
        <w:rPr>
          <w:rFonts w:ascii="Times New Roman" w:hAnsi="Times New Roman" w:cs="Times New Roman"/>
        </w:rPr>
        <w:t xml:space="preserve"> during the</w:t>
      </w:r>
      <w:r>
        <w:rPr>
          <w:rFonts w:ascii="Times New Roman" w:hAnsi="Times New Roman" w:cs="Times New Roman"/>
        </w:rPr>
        <w:t xml:space="preserve"> mediation</w:t>
      </w:r>
      <w:r w:rsidRPr="008319BB">
        <w:rPr>
          <w:rFonts w:ascii="Times New Roman" w:hAnsi="Times New Roman" w:cs="Times New Roman"/>
        </w:rPr>
        <w:t xml:space="preserve"> process. </w:t>
      </w:r>
      <w:r>
        <w:rPr>
          <w:rFonts w:ascii="Times New Roman" w:hAnsi="Times New Roman" w:cs="Times New Roman"/>
        </w:rPr>
        <w:t>As</w:t>
      </w:r>
      <w:r>
        <w:rPr>
          <w:rFonts w:ascii="Times New Roman" w:eastAsia="Times New Roman" w:hAnsi="Times New Roman" w:cs="Times New Roman"/>
          <w:color w:val="000000"/>
        </w:rPr>
        <w:t xml:space="preserve"> the Department</w:t>
      </w:r>
      <w:r w:rsidRPr="008319BB">
        <w:rPr>
          <w:rFonts w:ascii="Times New Roman" w:eastAsia="Times New Roman" w:hAnsi="Times New Roman" w:cs="Times New Roman"/>
          <w:color w:val="000000"/>
        </w:rPr>
        <w:t xml:space="preserve"> recognized </w:t>
      </w:r>
      <w:r>
        <w:rPr>
          <w:rFonts w:ascii="Times New Roman" w:eastAsia="Times New Roman" w:hAnsi="Times New Roman" w:cs="Times New Roman"/>
          <w:color w:val="000000"/>
        </w:rPr>
        <w:t>in the 2001 Guidance,</w:t>
      </w:r>
      <w:r w:rsidRPr="008319BB">
        <w:rPr>
          <w:rFonts w:ascii="Times New Roman" w:eastAsia="Times New Roman" w:hAnsi="Times New Roman" w:cs="Times New Roman"/>
          <w:color w:val="000000"/>
        </w:rPr>
        <w:t xml:space="preserve"> students in both K-12 and higher education can be pressured into mediation without informed consent, and even “voluntary” consent to mediation is inappropriate to resolve cases of sexual assault. </w:t>
      </w:r>
      <w:r w:rsidRPr="008319BB">
        <w:rPr>
          <w:rFonts w:ascii="Times New Roman" w:hAnsi="Times New Roman" w:cs="Times New Roman"/>
          <w:color w:val="000000"/>
        </w:rPr>
        <w:t>Experts also agree that mediation is inappropriate for resolving sexual violence. For example, NASPA - Student Affairs Administrators in Higher Education stated in 2018 that it was concerned about students being “pressured into informal resolution against their will.”</w:t>
      </w:r>
      <w:bookmarkStart w:id="18" w:name="_Ref533078216"/>
      <w:r w:rsidRPr="1627AC4F">
        <w:rPr>
          <w:rStyle w:val="FootnoteReference"/>
          <w:rFonts w:eastAsia="Times New Roman" w:cs="Times New Roman"/>
          <w:color w:val="000000"/>
        </w:rPr>
        <w:footnoteReference w:id="94"/>
      </w:r>
      <w:bookmarkEnd w:id="18"/>
      <w:r>
        <w:rPr>
          <w:rFonts w:ascii="Times New Roman" w:hAnsi="Times New Roman" w:cs="Times New Roman"/>
          <w:color w:val="000000"/>
        </w:rPr>
        <w:t xml:space="preserve"> The proposed rule would allow schools </w:t>
      </w:r>
      <w:r w:rsidRPr="008319BB">
        <w:rPr>
          <w:rFonts w:ascii="Times New Roman" w:hAnsi="Times New Roman" w:cs="Times New Roman"/>
        </w:rPr>
        <w:t>to pressure survivors, including minors, into giving “consent” to mediation and other informal processes with their assailants</w:t>
      </w:r>
      <w:r>
        <w:rPr>
          <w:rFonts w:ascii="Times New Roman" w:hAnsi="Times New Roman" w:cs="Times New Roman"/>
        </w:rPr>
        <w:t xml:space="preserve"> and</w:t>
      </w:r>
      <w:r w:rsidRPr="008319BB">
        <w:rPr>
          <w:rFonts w:ascii="Times New Roman" w:hAnsi="Times New Roman" w:cs="Times New Roman"/>
        </w:rPr>
        <w:t xml:space="preserve"> prevent </w:t>
      </w:r>
      <w:r>
        <w:rPr>
          <w:rFonts w:ascii="Times New Roman" w:hAnsi="Times New Roman" w:cs="Times New Roman"/>
        </w:rPr>
        <w:t>them</w:t>
      </w:r>
      <w:r w:rsidRPr="008319BB">
        <w:rPr>
          <w:rFonts w:ascii="Times New Roman" w:hAnsi="Times New Roman" w:cs="Times New Roman"/>
        </w:rPr>
        <w:t xml:space="preserve"> from ending an informal process and requesting a formal investigation—even if they change their mind and realize that mediation is too traumatizing to continue. </w:t>
      </w:r>
    </w:p>
    <w:p w14:paraId="64BF9899" w14:textId="77777777" w:rsidR="000B2C8D" w:rsidRPr="008319BB" w:rsidRDefault="000B2C8D" w:rsidP="000B2C8D">
      <w:pPr>
        <w:pStyle w:val="ListParagraph"/>
        <w:numPr>
          <w:ilvl w:val="0"/>
          <w:numId w:val="11"/>
        </w:numPr>
        <w:spacing w:after="0"/>
        <w:rPr>
          <w:rFonts w:ascii="Times New Roman" w:hAnsi="Times New Roman" w:cs="Times New Roman"/>
          <w:b/>
          <w:bCs/>
        </w:rPr>
      </w:pPr>
      <w:r w:rsidRPr="008319BB">
        <w:rPr>
          <w:rFonts w:ascii="Times New Roman" w:hAnsi="Times New Roman" w:cs="Times New Roman"/>
          <w:b/>
          <w:bCs/>
        </w:rPr>
        <w:t>The proposed rules would force many schools to use a more demanding standard of proof to investigate sexual harassment than they would use to investigate other types of student misconduct.</w:t>
      </w:r>
    </w:p>
    <w:p w14:paraId="254E1A19" w14:textId="77777777" w:rsidR="000B2C8D" w:rsidRPr="008319BB" w:rsidRDefault="000B2C8D" w:rsidP="000B2C8D">
      <w:pPr>
        <w:spacing w:after="0"/>
        <w:rPr>
          <w:rFonts w:ascii="Times New Roman" w:hAnsi="Times New Roman" w:cs="Times New Roman"/>
          <w:b/>
        </w:rPr>
      </w:pPr>
    </w:p>
    <w:p w14:paraId="404BF5DE" w14:textId="77777777" w:rsidR="000B2C8D" w:rsidRPr="008319BB" w:rsidRDefault="000B2C8D" w:rsidP="000B2C8D">
      <w:pPr>
        <w:spacing w:after="0"/>
        <w:ind w:firstLine="720"/>
        <w:rPr>
          <w:rFonts w:ascii="Times New Roman" w:hAnsi="Times New Roman" w:cs="Times New Roman"/>
        </w:rPr>
      </w:pPr>
      <w:r>
        <w:rPr>
          <w:rFonts w:ascii="Times New Roman" w:hAnsi="Times New Roman" w:cs="Times New Roman"/>
        </w:rPr>
        <w:t>The Department</w:t>
      </w:r>
      <w:r w:rsidRPr="008319BB">
        <w:rPr>
          <w:rFonts w:ascii="Times New Roman" w:hAnsi="Times New Roman" w:cs="Times New Roman"/>
        </w:rPr>
        <w:t>’s longstanding practice requires that schools use a “preponderance of the evidence” standard</w:t>
      </w:r>
      <w:r w:rsidRPr="008319BB">
        <w:rPr>
          <w:rFonts w:ascii="Times New Roman" w:hAnsi="Times New Roman" w:cs="Times New Roman"/>
        </w:rPr>
        <w:sym w:font="Symbol" w:char="F0BE"/>
      </w:r>
      <w:r w:rsidRPr="008319BB">
        <w:rPr>
          <w:rFonts w:ascii="Times New Roman" w:hAnsi="Times New Roman" w:cs="Times New Roman"/>
        </w:rPr>
        <w:t>which means “more likely than not”</w:t>
      </w:r>
      <w:r w:rsidRPr="008319BB">
        <w:rPr>
          <w:rFonts w:ascii="Times New Roman" w:hAnsi="Times New Roman" w:cs="Times New Roman"/>
        </w:rPr>
        <w:sym w:font="Symbol" w:char="F0BE"/>
      </w:r>
      <w:r w:rsidRPr="008319BB">
        <w:rPr>
          <w:rFonts w:ascii="Times New Roman" w:hAnsi="Times New Roman" w:cs="Times New Roman"/>
        </w:rPr>
        <w:t>in Title IX cases to decide whether sexual harassment occurred.</w:t>
      </w:r>
      <w:r>
        <w:rPr>
          <w:rStyle w:val="FootnoteReference"/>
          <w:rFonts w:cs="Times New Roman"/>
        </w:rPr>
        <w:footnoteReference w:id="95"/>
      </w:r>
      <w:r w:rsidRPr="008319BB">
        <w:rPr>
          <w:rFonts w:ascii="Times New Roman" w:hAnsi="Times New Roman" w:cs="Times New Roman"/>
        </w:rPr>
        <w:t xml:space="preserve"> P</w:t>
      </w:r>
      <w:r>
        <w:rPr>
          <w:rFonts w:ascii="Times New Roman" w:hAnsi="Times New Roman" w:cs="Times New Roman"/>
        </w:rPr>
        <w:t>r</w:t>
      </w:r>
      <w:r w:rsidRPr="008319BB">
        <w:rPr>
          <w:rFonts w:ascii="Times New Roman" w:hAnsi="Times New Roman" w:cs="Times New Roman"/>
        </w:rPr>
        <w:t xml:space="preserve">oposed rule § 106.45(b)(4)(i) departs from that practice, and establishes a system where schools could </w:t>
      </w:r>
      <w:r>
        <w:rPr>
          <w:rFonts w:ascii="Times New Roman" w:hAnsi="Times New Roman" w:cs="Times New Roman"/>
        </w:rPr>
        <w:t>elect to use</w:t>
      </w:r>
      <w:r w:rsidRPr="008319BB">
        <w:rPr>
          <w:rFonts w:ascii="Times New Roman" w:hAnsi="Times New Roman" w:cs="Times New Roman"/>
        </w:rPr>
        <w:t xml:space="preserve"> the more demanding “clear and convincing evidence” standard </w:t>
      </w:r>
      <w:r>
        <w:rPr>
          <w:rFonts w:ascii="Times New Roman" w:hAnsi="Times New Roman" w:cs="Times New Roman"/>
        </w:rPr>
        <w:t>in</w:t>
      </w:r>
      <w:r w:rsidRPr="008319BB">
        <w:rPr>
          <w:rFonts w:ascii="Times New Roman" w:hAnsi="Times New Roman" w:cs="Times New Roman"/>
        </w:rPr>
        <w:t xml:space="preserve"> sexual harassment cases, while allowing all other student misconduct cases to be governed by </w:t>
      </w:r>
      <w:r>
        <w:rPr>
          <w:rFonts w:ascii="Times New Roman" w:hAnsi="Times New Roman" w:cs="Times New Roman"/>
        </w:rPr>
        <w:t xml:space="preserve">the </w:t>
      </w:r>
      <w:r w:rsidRPr="008319BB">
        <w:rPr>
          <w:rFonts w:ascii="Times New Roman" w:hAnsi="Times New Roman" w:cs="Times New Roman"/>
        </w:rPr>
        <w:t>preponderance of the evidence</w:t>
      </w:r>
      <w:r>
        <w:rPr>
          <w:rFonts w:ascii="Times New Roman" w:hAnsi="Times New Roman" w:cs="Times New Roman"/>
        </w:rPr>
        <w:t xml:space="preserve"> standard</w:t>
      </w:r>
      <w:r w:rsidRPr="008319BB">
        <w:rPr>
          <w:rFonts w:ascii="Times New Roman" w:hAnsi="Times New Roman" w:cs="Times New Roman"/>
        </w:rPr>
        <w:t>, even if they carry the same maximum penalties.</w:t>
      </w:r>
      <w:r w:rsidRPr="1627AC4F">
        <w:rPr>
          <w:rStyle w:val="FootnoteReference"/>
          <w:rFonts w:cs="Times New Roman"/>
        </w:rPr>
        <w:footnoteReference w:id="96"/>
      </w:r>
      <w:r w:rsidRPr="008319BB">
        <w:rPr>
          <w:rFonts w:ascii="Times New Roman" w:hAnsi="Times New Roman" w:cs="Times New Roman"/>
        </w:rPr>
        <w:t xml:space="preserve"> </w:t>
      </w:r>
      <w:r>
        <w:rPr>
          <w:rFonts w:ascii="Times New Roman" w:hAnsi="Times New Roman" w:cs="Times New Roman"/>
        </w:rPr>
        <w:t>The Department</w:t>
      </w:r>
      <w:r w:rsidRPr="008319BB">
        <w:rPr>
          <w:rFonts w:ascii="Times New Roman" w:hAnsi="Times New Roman" w:cs="Times New Roman"/>
        </w:rPr>
        <w:t xml:space="preserve">’s decision to allow schools to impose a </w:t>
      </w:r>
      <w:r>
        <w:rPr>
          <w:rFonts w:ascii="Times New Roman" w:hAnsi="Times New Roman" w:cs="Times New Roman"/>
        </w:rPr>
        <w:t>more burdensome</w:t>
      </w:r>
      <w:r w:rsidRPr="008319BB">
        <w:rPr>
          <w:rFonts w:ascii="Times New Roman" w:hAnsi="Times New Roman" w:cs="Times New Roman"/>
        </w:rPr>
        <w:t xml:space="preserve"> standard in sexual assault cases than in any other student misconduct case appears to rely on the unspoken </w:t>
      </w:r>
      <w:r>
        <w:rPr>
          <w:rFonts w:ascii="Times New Roman" w:hAnsi="Times New Roman" w:cs="Times New Roman"/>
        </w:rPr>
        <w:t xml:space="preserve">stereotype and </w:t>
      </w:r>
      <w:r w:rsidRPr="008319BB">
        <w:rPr>
          <w:rFonts w:ascii="Times New Roman" w:hAnsi="Times New Roman" w:cs="Times New Roman"/>
        </w:rPr>
        <w:t>assumption that survivors (who are mostly women) are more likely to lie about sexual assault than students who report physical assault, plagiarism, or other school disciplinary violations.</w:t>
      </w:r>
      <w:r>
        <w:rPr>
          <w:rFonts w:ascii="Times New Roman" w:hAnsi="Times New Roman" w:cs="Times New Roman"/>
        </w:rPr>
        <w:t xml:space="preserve"> </w:t>
      </w:r>
      <w:r w:rsidRPr="008319BB">
        <w:rPr>
          <w:rFonts w:ascii="Times New Roman" w:hAnsi="Times New Roman" w:cs="Times New Roman"/>
        </w:rPr>
        <w:t>There is no basis for that sexist belief</w:t>
      </w:r>
      <w:r>
        <w:rPr>
          <w:rFonts w:ascii="Times New Roman" w:hAnsi="Times New Roman" w:cs="Times New Roman"/>
        </w:rPr>
        <w:t xml:space="preserve"> and </w:t>
      </w:r>
      <w:r w:rsidRPr="008319BB">
        <w:rPr>
          <w:rFonts w:ascii="Times New Roman" w:hAnsi="Times New Roman" w:cs="Times New Roman"/>
        </w:rPr>
        <w:t xml:space="preserve">in fact men and boys are far more likely to be </w:t>
      </w:r>
      <w:r w:rsidRPr="1627AC4F">
        <w:rPr>
          <w:rFonts w:ascii="Times New Roman" w:hAnsi="Times New Roman" w:cs="Times New Roman"/>
          <w:i/>
          <w:iCs/>
        </w:rPr>
        <w:t xml:space="preserve">victims </w:t>
      </w:r>
      <w:r w:rsidRPr="008319BB">
        <w:rPr>
          <w:rFonts w:ascii="Times New Roman" w:hAnsi="Times New Roman" w:cs="Times New Roman"/>
        </w:rPr>
        <w:t xml:space="preserve">of sexual assault than to be </w:t>
      </w:r>
      <w:r w:rsidRPr="1627AC4F">
        <w:rPr>
          <w:rFonts w:ascii="Times New Roman" w:hAnsi="Times New Roman" w:cs="Times New Roman"/>
          <w:i/>
          <w:iCs/>
        </w:rPr>
        <w:t>falsely accused</w:t>
      </w:r>
      <w:r w:rsidRPr="008319BB">
        <w:rPr>
          <w:rFonts w:ascii="Times New Roman" w:hAnsi="Times New Roman" w:cs="Times New Roman"/>
        </w:rPr>
        <w:t xml:space="preserve"> of sexual assault.</w:t>
      </w:r>
      <w:r w:rsidRPr="1627AC4F">
        <w:rPr>
          <w:rStyle w:val="FootnoteReference"/>
          <w:rFonts w:cs="Times New Roman"/>
        </w:rPr>
        <w:footnoteReference w:id="97"/>
      </w:r>
    </w:p>
    <w:p w14:paraId="3D2415BF" w14:textId="77777777" w:rsidR="000B2C8D" w:rsidRPr="008319BB" w:rsidRDefault="000B2C8D" w:rsidP="000B2C8D">
      <w:pPr>
        <w:spacing w:after="0" w:line="240" w:lineRule="auto"/>
        <w:textAlignment w:val="baseline"/>
        <w:rPr>
          <w:rFonts w:ascii="Times New Roman" w:hAnsi="Times New Roman" w:cs="Times New Roman"/>
        </w:rPr>
      </w:pPr>
    </w:p>
    <w:p w14:paraId="2C6320E5" w14:textId="77777777" w:rsidR="000B2C8D" w:rsidRPr="008319BB" w:rsidRDefault="000B2C8D" w:rsidP="000B2C8D">
      <w:pPr>
        <w:spacing w:after="0"/>
        <w:ind w:firstLine="720"/>
        <w:rPr>
          <w:rFonts w:ascii="Times New Roman" w:hAnsi="Times New Roman" w:cs="Times New Roman"/>
        </w:rPr>
      </w:pPr>
      <w:r w:rsidRPr="008319BB">
        <w:rPr>
          <w:rFonts w:ascii="Times New Roman" w:eastAsia="Times New Roman" w:hAnsi="Times New Roman" w:cs="Times New Roman"/>
          <w:color w:val="000000"/>
        </w:rPr>
        <w:t xml:space="preserve"> The preponderance standard is used by courts in all civil rights cases.</w:t>
      </w:r>
      <w:r w:rsidRPr="1627AC4F">
        <w:rPr>
          <w:rStyle w:val="FootnoteReference"/>
          <w:rFonts w:eastAsia="Times New Roman" w:cs="Times New Roman"/>
          <w:color w:val="000000"/>
        </w:rPr>
        <w:footnoteReference w:id="98"/>
      </w:r>
      <w:r w:rsidRPr="008319BB">
        <w:rPr>
          <w:rFonts w:ascii="Times New Roman" w:hAnsi="Times New Roman" w:cs="Times New Roman"/>
          <w:color w:val="000000"/>
        </w:rPr>
        <w:t xml:space="preserve"> </w:t>
      </w:r>
      <w:r>
        <w:rPr>
          <w:rFonts w:ascii="Times New Roman" w:hAnsi="Times New Roman" w:cs="Times New Roman"/>
          <w:color w:val="000000"/>
        </w:rPr>
        <w:t>It</w:t>
      </w:r>
      <w:r w:rsidRPr="008319BB">
        <w:rPr>
          <w:rFonts w:ascii="Times New Roman" w:hAnsi="Times New Roman" w:cs="Times New Roman"/>
        </w:rPr>
        <w:t xml:space="preserve"> is the only standard of proof that treats both sides equally and is consistent with Title IX’s requirement that grievance procedures be “equitable.” By allowing schools to use a </w:t>
      </w:r>
      <w:r>
        <w:rPr>
          <w:rFonts w:ascii="Times New Roman" w:hAnsi="Times New Roman" w:cs="Times New Roman"/>
        </w:rPr>
        <w:t>“</w:t>
      </w:r>
      <w:r w:rsidRPr="008319BB">
        <w:rPr>
          <w:rFonts w:ascii="Times New Roman" w:hAnsi="Times New Roman" w:cs="Times New Roman"/>
        </w:rPr>
        <w:t>clear</w:t>
      </w:r>
      <w:r>
        <w:rPr>
          <w:rFonts w:ascii="Times New Roman" w:hAnsi="Times New Roman" w:cs="Times New Roman"/>
        </w:rPr>
        <w:t xml:space="preserve"> </w:t>
      </w:r>
      <w:r w:rsidRPr="008319BB">
        <w:rPr>
          <w:rFonts w:ascii="Times New Roman" w:hAnsi="Times New Roman" w:cs="Times New Roman"/>
        </w:rPr>
        <w:t>and</w:t>
      </w:r>
      <w:r>
        <w:rPr>
          <w:rFonts w:ascii="Times New Roman" w:hAnsi="Times New Roman" w:cs="Times New Roman"/>
        </w:rPr>
        <w:t xml:space="preserve"> </w:t>
      </w:r>
      <w:r w:rsidRPr="008319BB">
        <w:rPr>
          <w:rFonts w:ascii="Times New Roman" w:hAnsi="Times New Roman" w:cs="Times New Roman"/>
        </w:rPr>
        <w:t>convincing</w:t>
      </w:r>
      <w:r>
        <w:rPr>
          <w:rFonts w:ascii="Times New Roman" w:hAnsi="Times New Roman" w:cs="Times New Roman"/>
        </w:rPr>
        <w:t xml:space="preserve"> </w:t>
      </w:r>
      <w:r w:rsidRPr="008319BB">
        <w:rPr>
          <w:rFonts w:ascii="Times New Roman" w:hAnsi="Times New Roman" w:cs="Times New Roman"/>
        </w:rPr>
        <w:t>evidence</w:t>
      </w:r>
      <w:r>
        <w:rPr>
          <w:rFonts w:ascii="Times New Roman" w:hAnsi="Times New Roman" w:cs="Times New Roman"/>
        </w:rPr>
        <w:t>”</w:t>
      </w:r>
      <w:r w:rsidRPr="008319BB">
        <w:rPr>
          <w:rFonts w:ascii="Times New Roman" w:hAnsi="Times New Roman" w:cs="Times New Roman"/>
        </w:rPr>
        <w:t xml:space="preserve"> standard, the proposed rule would tilt investigations in favor of respondents and against complainants. </w:t>
      </w:r>
      <w:r>
        <w:rPr>
          <w:rFonts w:ascii="Times New Roman" w:eastAsia="Times New Roman" w:hAnsi="Times New Roman" w:cs="Times New Roman"/>
          <w:color w:val="000000"/>
        </w:rPr>
        <w:t>The Department</w:t>
      </w:r>
      <w:r w:rsidRPr="008319BB">
        <w:rPr>
          <w:rFonts w:ascii="Times New Roman" w:eastAsia="Times New Roman" w:hAnsi="Times New Roman" w:cs="Times New Roman"/>
          <w:color w:val="000000"/>
        </w:rPr>
        <w:t xml:space="preserve"> argues that Title IX investigations </w:t>
      </w:r>
      <w:r>
        <w:rPr>
          <w:rFonts w:ascii="Times New Roman" w:eastAsia="Times New Roman" w:hAnsi="Times New Roman" w:cs="Times New Roman"/>
          <w:color w:val="000000"/>
        </w:rPr>
        <w:t xml:space="preserve">may </w:t>
      </w:r>
      <w:r w:rsidRPr="008319BB">
        <w:rPr>
          <w:rFonts w:ascii="Times New Roman" w:eastAsia="Times New Roman" w:hAnsi="Times New Roman" w:cs="Times New Roman"/>
          <w:color w:val="000000"/>
        </w:rPr>
        <w:t>need a more demanding standard because of the “heightened stigma” and the “significant, permanent, and far-reaching” consequences for respondents if they are found responsible</w:t>
      </w:r>
      <w:r>
        <w:rPr>
          <w:rFonts w:ascii="Times New Roman" w:eastAsia="Times New Roman" w:hAnsi="Times New Roman" w:cs="Times New Roman"/>
          <w:color w:val="000000"/>
        </w:rPr>
        <w:t xml:space="preserve"> for sexual harassment.</w:t>
      </w:r>
      <w:r>
        <w:rPr>
          <w:rStyle w:val="FootnoteReference"/>
          <w:rFonts w:eastAsia="Times New Roman" w:cs="Times New Roman"/>
          <w:color w:val="000000"/>
        </w:rPr>
        <w:footnoteReference w:id="99"/>
      </w:r>
      <w:r w:rsidRPr="008319BB">
        <w:rPr>
          <w:rFonts w:ascii="Times New Roman" w:eastAsia="Times New Roman" w:hAnsi="Times New Roman" w:cs="Times New Roman"/>
          <w:color w:val="000000"/>
        </w:rPr>
        <w:t xml:space="preserve"> But </w:t>
      </w:r>
      <w:r>
        <w:rPr>
          <w:rFonts w:ascii="Times New Roman" w:eastAsia="Times New Roman" w:hAnsi="Times New Roman" w:cs="Times New Roman"/>
          <w:color w:val="000000"/>
        </w:rPr>
        <w:t>the Department</w:t>
      </w:r>
      <w:r w:rsidRPr="008319BB">
        <w:rPr>
          <w:rFonts w:ascii="Times New Roman" w:eastAsia="Times New Roman" w:hAnsi="Times New Roman" w:cs="Times New Roman"/>
          <w:color w:val="000000"/>
        </w:rPr>
        <w:t xml:space="preserve"> ignores the reality that Title IX complainants face “heightened stigma” for reporting sexual harassment as compared to other types of misconduct, and that complainants suffer “significant, permanent, and far-reaching” consequences to their education if </w:t>
      </w:r>
      <w:r>
        <w:rPr>
          <w:rFonts w:ascii="Times New Roman" w:eastAsia="Times New Roman" w:hAnsi="Times New Roman" w:cs="Times New Roman"/>
          <w:color w:val="000000"/>
        </w:rPr>
        <w:t xml:space="preserve">their school fails to meaningfully address the harassment, particularly as </w:t>
      </w:r>
      <w:r w:rsidRPr="008319BB">
        <w:rPr>
          <w:rFonts w:ascii="Times New Roman" w:hAnsi="Times New Roman" w:cs="Times New Roman"/>
        </w:rPr>
        <w:t>34% of college survivors drop out of college.</w:t>
      </w:r>
      <w:r w:rsidRPr="1627AC4F">
        <w:rPr>
          <w:rStyle w:val="FootnoteReference"/>
          <w:rFonts w:cs="Times New Roman"/>
        </w:rPr>
        <w:footnoteReference w:id="100"/>
      </w:r>
      <w:r w:rsidRPr="008319BB">
        <w:rPr>
          <w:rFonts w:ascii="Times New Roman" w:eastAsia="Times New Roman" w:hAnsi="Times New Roman" w:cs="Times New Roman"/>
          <w:color w:val="000000"/>
        </w:rPr>
        <w:t xml:space="preserve"> Both students have an equal interest in </w:t>
      </w:r>
      <w:r>
        <w:rPr>
          <w:rFonts w:ascii="Times New Roman" w:eastAsia="Times New Roman" w:hAnsi="Times New Roman" w:cs="Times New Roman"/>
          <w:color w:val="000000"/>
        </w:rPr>
        <w:t>obtaining an education</w:t>
      </w:r>
      <w:r w:rsidRPr="008319BB">
        <w:rPr>
          <w:rFonts w:ascii="Times New Roman" w:eastAsia="Times New Roman" w:hAnsi="Times New Roman" w:cs="Times New Roman"/>
          <w:color w:val="000000"/>
        </w:rPr>
        <w:t xml:space="preserve">. </w:t>
      </w:r>
      <w:r w:rsidRPr="008319BB">
        <w:rPr>
          <w:rFonts w:ascii="Times New Roman" w:hAnsi="Times New Roman" w:cs="Times New Roman"/>
        </w:rPr>
        <w:t xml:space="preserve">Catering only to the impacts </w:t>
      </w:r>
      <w:r>
        <w:rPr>
          <w:rFonts w:ascii="Times New Roman" w:hAnsi="Times New Roman" w:cs="Times New Roman"/>
        </w:rPr>
        <w:t xml:space="preserve">on </w:t>
      </w:r>
      <w:r w:rsidRPr="008319BB">
        <w:rPr>
          <w:rFonts w:ascii="Times New Roman" w:hAnsi="Times New Roman" w:cs="Times New Roman"/>
        </w:rPr>
        <w:t>respondents</w:t>
      </w:r>
      <w:r>
        <w:rPr>
          <w:rFonts w:ascii="Times New Roman" w:hAnsi="Times New Roman" w:cs="Times New Roman"/>
        </w:rPr>
        <w:t xml:space="preserve"> in designing a grievance process to address harassment</w:t>
      </w:r>
      <w:r w:rsidRPr="008319BB">
        <w:rPr>
          <w:rFonts w:ascii="Times New Roman" w:hAnsi="Times New Roman" w:cs="Times New Roman"/>
        </w:rPr>
        <w:t xml:space="preserve"> is </w:t>
      </w:r>
      <w:r>
        <w:rPr>
          <w:rFonts w:ascii="Times New Roman" w:hAnsi="Times New Roman" w:cs="Times New Roman"/>
        </w:rPr>
        <w:t>inequitable</w:t>
      </w:r>
      <w:r w:rsidRPr="008319BB">
        <w:rPr>
          <w:rFonts w:ascii="Times New Roman" w:hAnsi="Times New Roman" w:cs="Times New Roman"/>
        </w:rPr>
        <w:t xml:space="preserve">. </w:t>
      </w:r>
    </w:p>
    <w:p w14:paraId="71F1C93B" w14:textId="77777777" w:rsidR="000B2C8D" w:rsidRPr="008319BB" w:rsidRDefault="000B2C8D" w:rsidP="000B2C8D">
      <w:pPr>
        <w:spacing w:after="0"/>
        <w:ind w:firstLine="720"/>
        <w:rPr>
          <w:rFonts w:ascii="Times New Roman" w:hAnsi="Times New Roman" w:cs="Times New Roman"/>
        </w:rPr>
      </w:pPr>
    </w:p>
    <w:p w14:paraId="63C1C6AE" w14:textId="77777777" w:rsidR="000B2C8D" w:rsidRPr="008319BB" w:rsidRDefault="000B2C8D" w:rsidP="000B2C8D">
      <w:pPr>
        <w:spacing w:after="0" w:line="240" w:lineRule="auto"/>
        <w:ind w:firstLine="720"/>
        <w:textAlignment w:val="baseline"/>
        <w:rPr>
          <w:rFonts w:ascii="Times New Roman" w:hAnsi="Times New Roman" w:cs="Times New Roman"/>
        </w:rPr>
      </w:pPr>
      <w:r w:rsidRPr="008319BB">
        <w:rPr>
          <w:rFonts w:ascii="Times New Roman" w:hAnsi="Times New Roman" w:cs="Times New Roman"/>
          <w:color w:val="000000"/>
        </w:rPr>
        <w:t>Moreover, Title IX experts support the preponderance standard, which is use</w:t>
      </w:r>
      <w:r>
        <w:rPr>
          <w:rFonts w:ascii="Times New Roman" w:hAnsi="Times New Roman" w:cs="Times New Roman"/>
          <w:color w:val="000000"/>
        </w:rPr>
        <w:t>d to address harassment complaints</w:t>
      </w:r>
      <w:r w:rsidRPr="008319BB">
        <w:rPr>
          <w:rFonts w:ascii="Times New Roman" w:hAnsi="Times New Roman" w:cs="Times New Roman"/>
          <w:color w:val="000000"/>
        </w:rPr>
        <w:t xml:space="preserve"> at over 80% of </w:t>
      </w:r>
      <w:r>
        <w:rPr>
          <w:rFonts w:ascii="Times New Roman" w:hAnsi="Times New Roman" w:cs="Times New Roman"/>
          <w:color w:val="000000"/>
        </w:rPr>
        <w:t>colleges</w:t>
      </w:r>
      <w:r w:rsidRPr="008319BB">
        <w:rPr>
          <w:rFonts w:ascii="Times New Roman" w:hAnsi="Times New Roman" w:cs="Times New Roman"/>
          <w:color w:val="000000"/>
        </w:rPr>
        <w:t>.</w:t>
      </w:r>
      <w:r w:rsidRPr="1627AC4F">
        <w:rPr>
          <w:rStyle w:val="FootnoteReference"/>
          <w:rFonts w:cs="Times New Roman"/>
          <w:color w:val="000000"/>
        </w:rPr>
        <w:footnoteReference w:id="101"/>
      </w:r>
      <w:r w:rsidRPr="008319BB">
        <w:rPr>
          <w:rFonts w:ascii="Times New Roman" w:hAnsi="Times New Roman" w:cs="Times New Roman"/>
          <w:color w:val="000000"/>
        </w:rPr>
        <w:t xml:space="preserve"> </w:t>
      </w:r>
      <w:r w:rsidRPr="008319BB">
        <w:rPr>
          <w:rFonts w:ascii="Times New Roman" w:hAnsi="Times New Roman" w:cs="Times New Roman"/>
        </w:rPr>
        <w:t xml:space="preserve">The NCHERM Group, whose white paper </w:t>
      </w:r>
      <w:r w:rsidRPr="1627AC4F">
        <w:rPr>
          <w:rFonts w:ascii="Times New Roman" w:hAnsi="Times New Roman" w:cs="Times New Roman"/>
          <w:i/>
          <w:iCs/>
        </w:rPr>
        <w:t xml:space="preserve">Due Process and the Sex Police </w:t>
      </w:r>
      <w:r w:rsidRPr="008319BB">
        <w:rPr>
          <w:rFonts w:ascii="Times New Roman" w:hAnsi="Times New Roman" w:cs="Times New Roman"/>
        </w:rPr>
        <w:t xml:space="preserve">was cited by </w:t>
      </w:r>
      <w:r>
        <w:rPr>
          <w:rFonts w:ascii="Times New Roman" w:hAnsi="Times New Roman" w:cs="Times New Roman"/>
        </w:rPr>
        <w:t>the Department</w:t>
      </w:r>
      <w:r w:rsidRPr="008319BB">
        <w:rPr>
          <w:rFonts w:ascii="Times New Roman" w:hAnsi="Times New Roman" w:cs="Times New Roman"/>
        </w:rPr>
        <w:t>,</w:t>
      </w:r>
      <w:r>
        <w:rPr>
          <w:rStyle w:val="FootnoteReference"/>
          <w:rFonts w:cs="Times New Roman"/>
        </w:rPr>
        <w:footnoteReference w:id="102"/>
      </w:r>
      <w:r w:rsidRPr="008319BB">
        <w:rPr>
          <w:rFonts w:ascii="Times New Roman" w:hAnsi="Times New Roman" w:cs="Times New Roman"/>
        </w:rPr>
        <w:t xml:space="preserve"> has promulgated materials that require schools to use the preponderance standard, because “[w]e believe higher education can acquit fairness without higher standards of proof.”</w:t>
      </w:r>
      <w:r w:rsidRPr="1627AC4F">
        <w:rPr>
          <w:rStyle w:val="FootnoteReference"/>
          <w:rFonts w:cs="Times New Roman"/>
        </w:rPr>
        <w:t xml:space="preserve"> </w:t>
      </w:r>
      <w:r w:rsidRPr="1627AC4F">
        <w:rPr>
          <w:rStyle w:val="FootnoteReference"/>
          <w:rFonts w:cs="Times New Roman"/>
        </w:rPr>
        <w:footnoteReference w:id="103"/>
      </w:r>
      <w:r w:rsidRPr="008319BB">
        <w:rPr>
          <w:rFonts w:ascii="Times New Roman" w:hAnsi="Times New Roman" w:cs="Times New Roman"/>
        </w:rPr>
        <w:t xml:space="preserve"> The white paper by four Harvard professors that is cited by </w:t>
      </w:r>
      <w:r>
        <w:rPr>
          <w:rFonts w:ascii="Times New Roman" w:hAnsi="Times New Roman" w:cs="Times New Roman"/>
        </w:rPr>
        <w:t>the Department</w:t>
      </w:r>
      <w:r>
        <w:rPr>
          <w:rStyle w:val="FootnoteReference"/>
          <w:rFonts w:cs="Times New Roman"/>
        </w:rPr>
        <w:footnoteReference w:id="104"/>
      </w:r>
      <w:r w:rsidRPr="008319BB">
        <w:rPr>
          <w:rFonts w:ascii="Times New Roman" w:hAnsi="Times New Roman" w:cs="Times New Roman"/>
        </w:rPr>
        <w:t xml:space="preserve"> recognizes that schools should use the preponderance standard if “other requirements for equal fairness are met</w:t>
      </w:r>
      <w:r>
        <w:rPr>
          <w:rFonts w:ascii="Times New Roman" w:hAnsi="Times New Roman" w:cs="Times New Roman"/>
        </w:rPr>
        <w:t>.</w:t>
      </w:r>
      <w:r w:rsidRPr="008319BB">
        <w:rPr>
          <w:rFonts w:ascii="Times New Roman" w:hAnsi="Times New Roman" w:cs="Times New Roman"/>
        </w:rPr>
        <w:t>”</w:t>
      </w:r>
      <w:bookmarkStart w:id="19" w:name="_Ref533078541"/>
      <w:r w:rsidRPr="1627AC4F">
        <w:rPr>
          <w:rStyle w:val="FootnoteReference"/>
          <w:rFonts w:cs="Times New Roman"/>
        </w:rPr>
        <w:footnoteReference w:id="105"/>
      </w:r>
      <w:bookmarkEnd w:id="19"/>
      <w:r w:rsidRPr="008319BB">
        <w:rPr>
          <w:rFonts w:ascii="Times New Roman" w:hAnsi="Times New Roman" w:cs="Times New Roman"/>
        </w:rPr>
        <w:t xml:space="preserve"> </w:t>
      </w:r>
      <w:r w:rsidRPr="008319BB">
        <w:rPr>
          <w:rFonts w:ascii="Times New Roman" w:hAnsi="Times New Roman" w:cs="Times New Roman"/>
          <w:color w:val="000000"/>
        </w:rPr>
        <w:t>The Association of Title IX Administrators (ATIXA)’s position is that “</w:t>
      </w:r>
      <w:r w:rsidRPr="008319BB">
        <w:rPr>
          <w:rFonts w:ascii="Times New Roman" w:hAnsi="Times New Roman" w:cs="Times New Roman"/>
        </w:rPr>
        <w:t xml:space="preserve">any standard higher than preponderance advantages those accused of sexual violence (mostly men) over those alleging sexual violence (mostly women). It makes it harder for women to prove they have been harmed by men. The whole point of Title IX is to create a level playing field for men and women in education, and the preponderance standard does exactly that. </w:t>
      </w:r>
      <w:r w:rsidRPr="1627AC4F">
        <w:rPr>
          <w:rFonts w:ascii="Times New Roman" w:hAnsi="Times New Roman" w:cs="Times New Roman"/>
          <w:i/>
          <w:iCs/>
        </w:rPr>
        <w:t>No other evidentiary standard is equitable</w:t>
      </w:r>
      <w:r w:rsidRPr="008319BB">
        <w:rPr>
          <w:rFonts w:ascii="Times New Roman" w:hAnsi="Times New Roman" w:cs="Times New Roman"/>
        </w:rPr>
        <w:t>.”</w:t>
      </w:r>
      <w:r w:rsidRPr="1627AC4F">
        <w:rPr>
          <w:rStyle w:val="FootnoteReference"/>
          <w:rFonts w:cs="Times New Roman"/>
        </w:rPr>
        <w:footnoteReference w:id="106"/>
      </w:r>
      <w:r w:rsidRPr="008319BB">
        <w:rPr>
          <w:rFonts w:ascii="Times New Roman" w:hAnsi="Times New Roman" w:cs="Times New Roman"/>
        </w:rPr>
        <w:t xml:space="preserve"> </w:t>
      </w:r>
      <w:r w:rsidRPr="008319BB">
        <w:rPr>
          <w:rFonts w:ascii="Times New Roman" w:hAnsi="Times New Roman" w:cs="Times New Roman"/>
          <w:color w:val="000000"/>
        </w:rPr>
        <w:t>NASPA - Student Affairs Administrators in Higher Education recommends the preponderance standard: “Allowing campuses to single out sexual assault incidents as requiring a higher burden of proof than other campus adjudication processes make it – by definition – harder for one party in a complaint than the other to reach the standard of proof. Rather than leveling the field for survivors and respondents, setting a standard higher than preponderance of the evidence tilts proceedings to unfairly benefit respondents.”</w:t>
      </w:r>
      <w:r w:rsidRPr="1627AC4F">
        <w:rPr>
          <w:rStyle w:val="FootnoteReference"/>
          <w:rFonts w:eastAsia="Times New Roman" w:cs="Times New Roman"/>
          <w:color w:val="000000"/>
        </w:rPr>
        <w:footnoteReference w:id="107"/>
      </w:r>
      <w:r w:rsidRPr="008319BB">
        <w:rPr>
          <w:rFonts w:ascii="Times New Roman" w:hAnsi="Times New Roman" w:cs="Times New Roman"/>
          <w:color w:val="000000"/>
        </w:rPr>
        <w:t xml:space="preserve"> The </w:t>
      </w:r>
      <w:r w:rsidRPr="008319BB">
        <w:rPr>
          <w:rFonts w:ascii="Times New Roman" w:hAnsi="Times New Roman" w:cs="Times New Roman"/>
        </w:rPr>
        <w:t>Association for Student Conduct Administration (ASCA) agrees that schools should “[u]se the preponderance of evidence (more likely than not) standard to resolve all allegations of sexual misconduct”</w:t>
      </w:r>
      <w:r w:rsidRPr="1627AC4F">
        <w:rPr>
          <w:rStyle w:val="FootnoteReference"/>
          <w:rFonts w:cs="Times New Roman"/>
        </w:rPr>
        <w:footnoteReference w:id="108"/>
      </w:r>
      <w:r w:rsidRPr="008319BB">
        <w:rPr>
          <w:rFonts w:ascii="Times New Roman" w:hAnsi="Times New Roman" w:cs="Times New Roman"/>
        </w:rPr>
        <w:t xml:space="preserve"> because “it is the only standard that reflects the integrity of equitable student conduct processes which treat all students with respect and fundamental fairness.”</w:t>
      </w:r>
      <w:r w:rsidRPr="1627AC4F">
        <w:rPr>
          <w:rStyle w:val="FootnoteReference"/>
          <w:rFonts w:cs="Times New Roman"/>
        </w:rPr>
        <w:footnoteReference w:id="109"/>
      </w:r>
    </w:p>
    <w:p w14:paraId="1BEFF0EE" w14:textId="77777777" w:rsidR="000B2C8D" w:rsidRPr="008319BB" w:rsidRDefault="000B2C8D" w:rsidP="000B2C8D">
      <w:pPr>
        <w:spacing w:after="0" w:line="240" w:lineRule="auto"/>
        <w:textAlignment w:val="baseline"/>
        <w:rPr>
          <w:rFonts w:ascii="Times New Roman" w:hAnsi="Times New Roman" w:cs="Times New Roman"/>
          <w:b/>
        </w:rPr>
      </w:pPr>
    </w:p>
    <w:p w14:paraId="5EFAADA1" w14:textId="77777777" w:rsidR="000B2C8D" w:rsidRPr="008319BB" w:rsidRDefault="000B2C8D" w:rsidP="000B2C8D">
      <w:pPr>
        <w:pStyle w:val="ListParagraph"/>
        <w:keepNext/>
        <w:keepLines/>
        <w:widowControl w:val="0"/>
        <w:numPr>
          <w:ilvl w:val="0"/>
          <w:numId w:val="11"/>
        </w:numPr>
        <w:spacing w:after="0"/>
        <w:rPr>
          <w:rFonts w:ascii="Times New Roman" w:hAnsi="Times New Roman" w:cs="Times New Roman"/>
          <w:b/>
          <w:bCs/>
        </w:rPr>
      </w:pPr>
      <w:r w:rsidRPr="008319BB">
        <w:rPr>
          <w:rFonts w:ascii="Times New Roman" w:hAnsi="Times New Roman" w:cs="Times New Roman"/>
          <w:b/>
          <w:bCs/>
        </w:rPr>
        <w:t xml:space="preserve"> The proposed rules fail to impose clear timeframes for investigations and allow impermissible delays</w:t>
      </w:r>
      <w:r>
        <w:rPr>
          <w:rFonts w:ascii="Times New Roman" w:hAnsi="Times New Roman" w:cs="Times New Roman"/>
          <w:b/>
          <w:bCs/>
        </w:rPr>
        <w:t>.</w:t>
      </w:r>
    </w:p>
    <w:p w14:paraId="51E3EB27" w14:textId="77777777" w:rsidR="000B2C8D" w:rsidRPr="008319BB" w:rsidRDefault="000B2C8D" w:rsidP="000B2C8D">
      <w:pPr>
        <w:spacing w:after="0"/>
        <w:rPr>
          <w:rFonts w:ascii="Times New Roman" w:hAnsi="Times New Roman" w:cs="Times New Roman"/>
          <w:b/>
        </w:rPr>
      </w:pPr>
    </w:p>
    <w:p w14:paraId="2FC12610" w14:textId="77777777" w:rsidR="000B2C8D" w:rsidRPr="008319BB" w:rsidRDefault="000B2C8D" w:rsidP="000B2C8D">
      <w:pPr>
        <w:spacing w:after="0" w:line="240" w:lineRule="auto"/>
        <w:ind w:firstLine="720"/>
        <w:rPr>
          <w:rFonts w:ascii="Times New Roman" w:hAnsi="Times New Roman" w:cs="Times New Roman"/>
          <w:i/>
          <w:iCs/>
        </w:rPr>
      </w:pPr>
      <w:r w:rsidRPr="008319BB">
        <w:rPr>
          <w:rFonts w:ascii="Times New Roman" w:hAnsi="Times New Roman" w:cs="Times New Roman"/>
        </w:rPr>
        <w:t>The proposed rules require schools to have “reasonably prompt timeframes,” but allows them to create a “temporary delay” or “limited extension” of timeframes for “good cause,” which includes “concurrent law enforcement activity.”</w:t>
      </w:r>
      <w:r>
        <w:rPr>
          <w:rStyle w:val="FootnoteReference"/>
          <w:rFonts w:cs="Times New Roman"/>
        </w:rPr>
        <w:footnoteReference w:id="110"/>
      </w:r>
      <w:r w:rsidRPr="008319BB">
        <w:rPr>
          <w:rFonts w:ascii="Times New Roman" w:hAnsi="Times New Roman" w:cs="Times New Roman"/>
        </w:rPr>
        <w:t xml:space="preserve"> In contrast, Title IX guidance issued by the Obama administration recommended that schools finish investigations within 60 days, and prohibited schools from delaying a Title IX investigation just because there was an ongoing criminal investigation.</w:t>
      </w:r>
    </w:p>
    <w:p w14:paraId="1FDE070F" w14:textId="77777777" w:rsidR="000B2C8D" w:rsidRPr="008319BB" w:rsidRDefault="000B2C8D" w:rsidP="000B2C8D">
      <w:pPr>
        <w:spacing w:after="0" w:line="240" w:lineRule="auto"/>
        <w:ind w:firstLine="720"/>
        <w:rPr>
          <w:rFonts w:ascii="Times New Roman" w:hAnsi="Times New Roman" w:cs="Times New Roman"/>
          <w:i/>
          <w:iCs/>
        </w:rPr>
      </w:pPr>
    </w:p>
    <w:p w14:paraId="23C19CB9" w14:textId="42A06519" w:rsidR="000B2C8D" w:rsidRDefault="000B2C8D" w:rsidP="000B2C8D">
      <w:pPr>
        <w:spacing w:after="0" w:line="240" w:lineRule="auto"/>
        <w:ind w:firstLine="720"/>
        <w:rPr>
          <w:rFonts w:ascii="Times New Roman" w:hAnsi="Times New Roman" w:cs="Times New Roman"/>
        </w:rPr>
      </w:pPr>
      <w:r w:rsidRPr="008319BB">
        <w:rPr>
          <w:rFonts w:ascii="Times New Roman" w:hAnsi="Times New Roman" w:cs="Times New Roman"/>
        </w:rPr>
        <w:t xml:space="preserve">Under the proposed rules, if there is an ongoing criminal investigation, the school would be allowed to delay its Title IX investigation for an unspecified length of time. While criminal investigations seek to punish an abuser for their conduct, Title IX investigations should seek to ensure that complainants are able to access educational opportunities that become inaccessible due to harassment. Students should not be forced to wait months or years until after a criminal investigation </w:t>
      </w:r>
      <w:r>
        <w:rPr>
          <w:rFonts w:ascii="Times New Roman" w:hAnsi="Times New Roman" w:cs="Times New Roman"/>
        </w:rPr>
        <w:t>is completed</w:t>
      </w:r>
      <w:r w:rsidRPr="008319BB">
        <w:rPr>
          <w:rFonts w:ascii="Times New Roman" w:hAnsi="Times New Roman" w:cs="Times New Roman"/>
        </w:rPr>
        <w:t xml:space="preserve"> in order to </w:t>
      </w:r>
      <w:r>
        <w:rPr>
          <w:rFonts w:ascii="Times New Roman" w:hAnsi="Times New Roman" w:cs="Times New Roman"/>
        </w:rPr>
        <w:t>seek resolution</w:t>
      </w:r>
      <w:r w:rsidRPr="008319BB">
        <w:rPr>
          <w:rFonts w:ascii="Times New Roman" w:hAnsi="Times New Roman" w:cs="Times New Roman"/>
        </w:rPr>
        <w:t xml:space="preserve"> from their schools. The Association of Title IX Administrators (ATIXA) </w:t>
      </w:r>
      <w:r w:rsidRPr="008319BB">
        <w:rPr>
          <w:rStyle w:val="Hyperlink"/>
          <w:rFonts w:ascii="Times New Roman" w:hAnsi="Times New Roman" w:cs="Times New Roman"/>
        </w:rPr>
        <w:t>agrees</w:t>
      </w:r>
      <w:r w:rsidRPr="008319BB">
        <w:rPr>
          <w:rFonts w:ascii="Times New Roman" w:hAnsi="Times New Roman" w:cs="Times New Roman"/>
        </w:rPr>
        <w:t xml:space="preserve"> that a school that “delay[s] or suspend[s] its investigation” at the request of a prosecutor creates a safety risk to the survivor and to “other students, as well.”</w:t>
      </w:r>
      <w:r w:rsidRPr="1627AC4F">
        <w:rPr>
          <w:rStyle w:val="FootnoteReference"/>
          <w:rFonts w:cs="Times New Roman"/>
        </w:rPr>
        <w:footnoteReference w:id="111"/>
      </w:r>
      <w:r w:rsidRPr="008319BB">
        <w:rPr>
          <w:rFonts w:ascii="Times New Roman" w:hAnsi="Times New Roman" w:cs="Times New Roman"/>
        </w:rPr>
        <w:t xml:space="preserve"> </w:t>
      </w:r>
    </w:p>
    <w:p w14:paraId="1E534A39" w14:textId="77777777" w:rsidR="000B0D9D" w:rsidRDefault="000B0D9D" w:rsidP="000B2C8D">
      <w:pPr>
        <w:spacing w:after="0" w:line="240" w:lineRule="auto"/>
        <w:ind w:firstLine="720"/>
        <w:rPr>
          <w:rFonts w:ascii="Times New Roman" w:hAnsi="Times New Roman" w:cs="Times New Roman"/>
        </w:rPr>
      </w:pPr>
    </w:p>
    <w:p w14:paraId="55A6299E" w14:textId="77777777" w:rsidR="000B2C8D" w:rsidRPr="008319BB" w:rsidRDefault="000B2C8D" w:rsidP="000B2C8D">
      <w:pPr>
        <w:pStyle w:val="ListParagraph"/>
        <w:numPr>
          <w:ilvl w:val="0"/>
          <w:numId w:val="11"/>
        </w:numPr>
      </w:pPr>
      <w:r w:rsidRPr="009410E1">
        <w:rPr>
          <w:rFonts w:ascii="Times New Roman" w:hAnsi="Times New Roman" w:cs="Times New Roman"/>
          <w:b/>
          <w:bCs/>
        </w:rPr>
        <w:t>The proposed rules would require schools to give unequal appeal rights.</w:t>
      </w:r>
    </w:p>
    <w:p w14:paraId="62976604" w14:textId="77777777" w:rsidR="000B2C8D" w:rsidRPr="008319BB" w:rsidRDefault="000B2C8D" w:rsidP="000B2C8D">
      <w:pPr>
        <w:spacing w:after="0"/>
        <w:ind w:firstLine="720"/>
        <w:rPr>
          <w:rFonts w:ascii="Times New Roman" w:hAnsi="Times New Roman" w:cs="Times New Roman"/>
          <w:color w:val="000000"/>
        </w:rPr>
      </w:pPr>
      <w:r w:rsidRPr="008319BB">
        <w:rPr>
          <w:rFonts w:ascii="Times New Roman" w:hAnsi="Times New Roman" w:cs="Times New Roman"/>
        </w:rPr>
        <w:t xml:space="preserve">Although </w:t>
      </w:r>
      <w:r>
        <w:rPr>
          <w:rFonts w:ascii="Times New Roman" w:hAnsi="Times New Roman" w:cs="Times New Roman"/>
        </w:rPr>
        <w:t xml:space="preserve">Secretary </w:t>
      </w:r>
      <w:r w:rsidRPr="008319BB">
        <w:rPr>
          <w:rFonts w:ascii="Times New Roman" w:hAnsi="Times New Roman" w:cs="Times New Roman"/>
        </w:rPr>
        <w:t>DeVos claims that the proposed rules make “[a]ppeal rights equally available to both parties</w:t>
      </w:r>
      <w:r w:rsidRPr="008319BB">
        <w:rPr>
          <w:rFonts w:ascii="Times New Roman" w:eastAsia="Times New Roman" w:hAnsi="Times New Roman" w:cs="Times New Roman"/>
          <w:color w:val="000000"/>
        </w:rPr>
        <w:t>,”</w:t>
      </w:r>
      <w:r w:rsidRPr="1627AC4F">
        <w:rPr>
          <w:rStyle w:val="FootnoteReference"/>
          <w:rFonts w:eastAsia="Times New Roman" w:cs="Times New Roman"/>
          <w:color w:val="000000"/>
        </w:rPr>
        <w:footnoteReference w:id="112"/>
      </w:r>
      <w:r w:rsidRPr="008319BB">
        <w:rPr>
          <w:rFonts w:ascii="Times New Roman" w:eastAsia="Times New Roman" w:hAnsi="Times New Roman" w:cs="Times New Roman"/>
          <w:color w:val="000000"/>
        </w:rPr>
        <w:t xml:space="preserve"> they do not in fact provide equal </w:t>
      </w:r>
      <w:r w:rsidRPr="1627AC4F">
        <w:rPr>
          <w:rFonts w:ascii="Times New Roman" w:eastAsia="Times New Roman" w:hAnsi="Times New Roman" w:cs="Times New Roman"/>
          <w:i/>
          <w:iCs/>
          <w:color w:val="000000"/>
        </w:rPr>
        <w:t>grounds for appeal</w:t>
      </w:r>
      <w:r w:rsidRPr="008319BB">
        <w:rPr>
          <w:rFonts w:ascii="Times New Roman" w:eastAsia="Times New Roman" w:hAnsi="Times New Roman" w:cs="Times New Roman"/>
          <w:color w:val="000000"/>
        </w:rPr>
        <w:t xml:space="preserve"> to both parties, as complainants are barred from appealing </w:t>
      </w:r>
      <w:r>
        <w:rPr>
          <w:rFonts w:ascii="Times New Roman" w:eastAsia="Times New Roman" w:hAnsi="Times New Roman" w:cs="Times New Roman"/>
          <w:color w:val="000000"/>
        </w:rPr>
        <w:t>a school’s resolution of a harassment complaint based on inadequate</w:t>
      </w:r>
      <w:r w:rsidRPr="008319BB">
        <w:rPr>
          <w:rFonts w:ascii="Times New Roman" w:eastAsia="Times New Roman" w:hAnsi="Times New Roman" w:cs="Times New Roman"/>
          <w:color w:val="000000"/>
        </w:rPr>
        <w:t xml:space="preserve"> sanctions</w:t>
      </w:r>
      <w:r>
        <w:rPr>
          <w:rFonts w:ascii="Times New Roman" w:eastAsia="Times New Roman" w:hAnsi="Times New Roman" w:cs="Times New Roman"/>
          <w:color w:val="000000"/>
        </w:rPr>
        <w:t xml:space="preserve"> imposed on a respondent</w:t>
      </w:r>
      <w:r w:rsidRPr="008319BB">
        <w:rPr>
          <w:rFonts w:ascii="Times New Roman" w:eastAsia="Times New Roman" w:hAnsi="Times New Roman" w:cs="Times New Roman"/>
          <w:color w:val="000000"/>
        </w:rPr>
        <w:t xml:space="preserve">. </w:t>
      </w:r>
      <w:r w:rsidRPr="008319BB">
        <w:rPr>
          <w:rFonts w:ascii="Times New Roman" w:hAnsi="Times New Roman" w:cs="Times New Roman"/>
        </w:rPr>
        <w:t>Allowing</w:t>
      </w:r>
      <w:r w:rsidRPr="008319BB">
        <w:rPr>
          <w:rFonts w:ascii="Times New Roman" w:hAnsi="Times New Roman" w:cs="Times New Roman"/>
          <w:color w:val="000000"/>
        </w:rPr>
        <w:t xml:space="preserve"> only </w:t>
      </w:r>
      <w:r>
        <w:rPr>
          <w:rFonts w:ascii="Times New Roman" w:hAnsi="Times New Roman" w:cs="Times New Roman"/>
          <w:color w:val="000000"/>
        </w:rPr>
        <w:t>the respondent</w:t>
      </w:r>
      <w:r w:rsidRPr="008319BB">
        <w:rPr>
          <w:rFonts w:ascii="Times New Roman" w:hAnsi="Times New Roman" w:cs="Times New Roman"/>
          <w:color w:val="000000"/>
        </w:rPr>
        <w:t xml:space="preserve"> the right to appeal a </w:t>
      </w:r>
      <w:r w:rsidRPr="008319BB">
        <w:rPr>
          <w:rFonts w:ascii="Times New Roman" w:eastAsia="Times New Roman" w:hAnsi="Times New Roman" w:cs="Times New Roman"/>
          <w:color w:val="000000"/>
        </w:rPr>
        <w:t>sanction</w:t>
      </w:r>
      <w:r w:rsidRPr="008319BB">
        <w:rPr>
          <w:rFonts w:ascii="Times New Roman" w:hAnsi="Times New Roman" w:cs="Times New Roman"/>
          <w:color w:val="000000"/>
        </w:rPr>
        <w:t xml:space="preserve"> </w:t>
      </w:r>
      <w:r>
        <w:rPr>
          <w:rFonts w:ascii="Times New Roman" w:hAnsi="Times New Roman" w:cs="Times New Roman"/>
          <w:color w:val="000000"/>
        </w:rPr>
        <w:t xml:space="preserve">decision </w:t>
      </w:r>
      <w:r w:rsidRPr="008319BB">
        <w:rPr>
          <w:rFonts w:ascii="Times New Roman" w:hAnsi="Times New Roman" w:cs="Times New Roman"/>
          <w:color w:val="000000"/>
        </w:rPr>
        <w:t xml:space="preserve">is both unfair and a violation of the </w:t>
      </w:r>
      <w:r>
        <w:rPr>
          <w:rFonts w:ascii="Times New Roman" w:hAnsi="Times New Roman" w:cs="Times New Roman"/>
          <w:color w:val="000000"/>
        </w:rPr>
        <w:t xml:space="preserve">requirement of </w:t>
      </w:r>
      <w:r w:rsidRPr="008319BB">
        <w:rPr>
          <w:rFonts w:ascii="Times New Roman" w:hAnsi="Times New Roman" w:cs="Times New Roman"/>
          <w:color w:val="000000"/>
        </w:rPr>
        <w:t xml:space="preserve">“equitable” </w:t>
      </w:r>
      <w:r>
        <w:rPr>
          <w:rFonts w:ascii="Times New Roman" w:hAnsi="Times New Roman" w:cs="Times New Roman"/>
          <w:color w:val="000000"/>
        </w:rPr>
        <w:t>procedures</w:t>
      </w:r>
      <w:r w:rsidRPr="008319BB">
        <w:rPr>
          <w:rFonts w:ascii="Times New Roman" w:hAnsi="Times New Roman" w:cs="Times New Roman"/>
          <w:color w:val="000000"/>
        </w:rPr>
        <w:t>, because survivors are also impacted by sanction decisions. For example, if their abuser is still allowed to live in the same dorm as the survivor, or if they are still in the same classroom, the survivor may experience further trauma.</w:t>
      </w:r>
    </w:p>
    <w:p w14:paraId="65319C90" w14:textId="77777777" w:rsidR="000B2C8D" w:rsidRPr="008319BB" w:rsidRDefault="000B2C8D" w:rsidP="000B2C8D">
      <w:pPr>
        <w:spacing w:after="0"/>
        <w:ind w:left="720"/>
        <w:rPr>
          <w:rFonts w:ascii="Times New Roman" w:hAnsi="Times New Roman" w:cs="Times New Roman"/>
        </w:rPr>
      </w:pPr>
    </w:p>
    <w:p w14:paraId="3B503CD8" w14:textId="77777777" w:rsidR="000B2C8D" w:rsidRPr="008319BB" w:rsidRDefault="000B2C8D" w:rsidP="000B2C8D">
      <w:pPr>
        <w:spacing w:after="0"/>
        <w:ind w:firstLine="720"/>
        <w:rPr>
          <w:rFonts w:ascii="Times New Roman" w:hAnsi="Times New Roman" w:cs="Times New Roman"/>
        </w:rPr>
      </w:pPr>
      <w:r w:rsidRPr="008319BB">
        <w:rPr>
          <w:rFonts w:ascii="Times New Roman" w:hAnsi="Times New Roman" w:cs="Times New Roman"/>
        </w:rPr>
        <w:t xml:space="preserve">Experts support equal appeal rights. </w:t>
      </w:r>
      <w:r w:rsidRPr="008319BB">
        <w:rPr>
          <w:rFonts w:ascii="Times New Roman" w:eastAsia="Times New Roman" w:hAnsi="Times New Roman" w:cs="Times New Roman"/>
          <w:color w:val="000000"/>
        </w:rPr>
        <w:t>The American Bar Association recommends that the grounds for appeal include “a sanction disproportionate to the findings in the case (that is, too lenient or too severe).”</w:t>
      </w:r>
      <w:r w:rsidRPr="1627AC4F">
        <w:rPr>
          <w:rStyle w:val="FootnoteReference"/>
          <w:rFonts w:eastAsia="Times New Roman" w:cs="Times New Roman"/>
          <w:color w:val="000000"/>
        </w:rPr>
        <w:footnoteReference w:id="113"/>
      </w:r>
      <w:r w:rsidRPr="008319BB">
        <w:rPr>
          <w:rFonts w:ascii="Times New Roman" w:hAnsi="Times New Roman" w:cs="Times New Roman"/>
          <w:color w:val="000000"/>
        </w:rPr>
        <w:t xml:space="preserve"> The Association of Title IX Administrators (ATIXA) announced in October 2018 that it supports equal rights to appeal for both parties, “[d]espite indications that OCR will propose regulations that permit inequitable appeals.”</w:t>
      </w:r>
      <w:r w:rsidRPr="1627AC4F">
        <w:rPr>
          <w:rStyle w:val="FootnoteReference"/>
          <w:rFonts w:eastAsia="Times New Roman" w:cs="Times New Roman"/>
          <w:color w:val="000000"/>
        </w:rPr>
        <w:footnoteReference w:id="114"/>
      </w:r>
      <w:r w:rsidRPr="008319BB">
        <w:rPr>
          <w:rFonts w:ascii="Times New Roman" w:hAnsi="Times New Roman" w:cs="Times New Roman"/>
          <w:color w:val="000000"/>
        </w:rPr>
        <w:t xml:space="preserve"> </w:t>
      </w:r>
      <w:r w:rsidRPr="008319BB">
        <w:rPr>
          <w:rFonts w:ascii="Times New Roman" w:hAnsi="Times New Roman" w:cs="Times New Roman"/>
        </w:rPr>
        <w:t xml:space="preserve">Even the white paper by four Harvard professors that is cited by </w:t>
      </w:r>
      <w:r>
        <w:rPr>
          <w:rFonts w:ascii="Times New Roman" w:hAnsi="Times New Roman" w:cs="Times New Roman"/>
        </w:rPr>
        <w:t>the Department</w:t>
      </w:r>
      <w:r w:rsidRPr="008319BB">
        <w:rPr>
          <w:rFonts w:ascii="Times New Roman" w:hAnsi="Times New Roman" w:cs="Times New Roman"/>
        </w:rPr>
        <w:t xml:space="preserve"> (p.9-10 n.2) recognizes that schools should allow “[e]ach party (respondent and complainant) [to] request an impartial appeal.”</w:t>
      </w:r>
      <w:r w:rsidRPr="1627AC4F">
        <w:rPr>
          <w:rStyle w:val="FootnoteReference"/>
          <w:rFonts w:cs="Times New Roman"/>
        </w:rPr>
        <w:footnoteReference w:id="115"/>
      </w:r>
    </w:p>
    <w:p w14:paraId="103AFFF7" w14:textId="77777777" w:rsidR="000B2C8D" w:rsidRPr="008319BB" w:rsidRDefault="000B2C8D" w:rsidP="000B2C8D">
      <w:pPr>
        <w:spacing w:after="0"/>
        <w:rPr>
          <w:rFonts w:ascii="Times New Roman" w:hAnsi="Times New Roman" w:cs="Times New Roman"/>
        </w:rPr>
      </w:pPr>
    </w:p>
    <w:p w14:paraId="427A63DF" w14:textId="77777777" w:rsidR="000B2C8D" w:rsidRPr="008319BB" w:rsidRDefault="000B2C8D" w:rsidP="000B2C8D">
      <w:pPr>
        <w:pStyle w:val="ListParagraph"/>
        <w:numPr>
          <w:ilvl w:val="0"/>
          <w:numId w:val="27"/>
        </w:numPr>
        <w:spacing w:after="0"/>
        <w:rPr>
          <w:rFonts w:ascii="Times New Roman" w:hAnsi="Times New Roman" w:cs="Times New Roman"/>
          <w:b/>
        </w:rPr>
      </w:pPr>
      <w:r w:rsidRPr="008319BB">
        <w:rPr>
          <w:rFonts w:ascii="Times New Roman" w:hAnsi="Times New Roman" w:cs="Times New Roman"/>
          <w:b/>
        </w:rPr>
        <w:t xml:space="preserve">The Proposed Rules are Inconsistent with the Clery Act. </w:t>
      </w:r>
    </w:p>
    <w:p w14:paraId="6C56443E" w14:textId="77777777" w:rsidR="000B2C8D" w:rsidRPr="008319BB" w:rsidRDefault="000B2C8D" w:rsidP="000B2C8D">
      <w:pPr>
        <w:spacing w:after="0"/>
        <w:rPr>
          <w:rFonts w:ascii="Times New Roman" w:hAnsi="Times New Roman" w:cs="Times New Roman"/>
          <w:b/>
        </w:rPr>
      </w:pPr>
    </w:p>
    <w:p w14:paraId="4484DD62" w14:textId="77777777" w:rsidR="000B2C8D" w:rsidRDefault="000B2C8D" w:rsidP="000B2C8D">
      <w:pPr>
        <w:spacing w:after="0" w:line="240" w:lineRule="auto"/>
        <w:ind w:firstLine="720"/>
        <w:jc w:val="both"/>
        <w:textAlignment w:val="baseline"/>
        <w:rPr>
          <w:rFonts w:ascii="Times New Roman" w:hAnsi="Times New Roman" w:cs="Times New Roman"/>
        </w:rPr>
      </w:pPr>
      <w:r w:rsidRPr="008319BB">
        <w:rPr>
          <w:rFonts w:ascii="Times New Roman" w:eastAsia="Times New Roman" w:hAnsi="Times New Roman" w:cs="Times New Roman"/>
          <w:color w:val="000000"/>
        </w:rPr>
        <w:t xml:space="preserve">A number of </w:t>
      </w:r>
      <w:r>
        <w:rPr>
          <w:rFonts w:ascii="Times New Roman" w:eastAsia="Times New Roman" w:hAnsi="Times New Roman" w:cs="Times New Roman"/>
          <w:color w:val="000000"/>
        </w:rPr>
        <w:t>the Department</w:t>
      </w:r>
      <w:r w:rsidRPr="008319BB">
        <w:rPr>
          <w:rFonts w:ascii="Times New Roman" w:eastAsia="Times New Roman" w:hAnsi="Times New Roman" w:cs="Times New Roman"/>
          <w:color w:val="000000"/>
        </w:rPr>
        <w:t xml:space="preserve">’s proposed rules are inconsistent with the Clery Act, which </w:t>
      </w:r>
      <w:r>
        <w:rPr>
          <w:rFonts w:ascii="Times New Roman" w:eastAsia="Times New Roman" w:hAnsi="Times New Roman" w:cs="Times New Roman"/>
          <w:color w:val="000000"/>
        </w:rPr>
        <w:t>the Department</w:t>
      </w:r>
      <w:r w:rsidRPr="008319BB">
        <w:rPr>
          <w:rFonts w:ascii="Times New Roman" w:eastAsia="Times New Roman" w:hAnsi="Times New Roman" w:cs="Times New Roman"/>
          <w:color w:val="000000"/>
        </w:rPr>
        <w:t xml:space="preserve"> also enforces</w:t>
      </w:r>
      <w:r>
        <w:rPr>
          <w:rFonts w:ascii="Times New Roman" w:eastAsia="Times New Roman" w:hAnsi="Times New Roman" w:cs="Times New Roman"/>
          <w:color w:val="000000"/>
        </w:rPr>
        <w:t>, and which also addresses the obligation of colleges and universities to respond to sexual assault and other behaviors that may constitute sexual harassment, including dating violence, domestic violence, and stalking</w:t>
      </w:r>
      <w:r w:rsidRPr="008319BB">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For example,</w:t>
      </w:r>
      <w:r w:rsidRPr="008319BB" w:rsidDel="009E090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the proposed rules</w:t>
      </w:r>
      <w:r w:rsidRPr="008319BB">
        <w:rPr>
          <w:rFonts w:ascii="Times New Roman" w:eastAsia="Times New Roman" w:hAnsi="Times New Roman" w:cs="Times New Roman"/>
          <w:color w:val="000000"/>
        </w:rPr>
        <w:t xml:space="preserve"> prohibit</w:t>
      </w:r>
      <w:r>
        <w:rPr>
          <w:rFonts w:ascii="Times New Roman" w:eastAsia="Times New Roman" w:hAnsi="Times New Roman" w:cs="Times New Roman"/>
          <w:color w:val="000000"/>
        </w:rPr>
        <w:t>ing</w:t>
      </w:r>
      <w:r w:rsidRPr="008319BB">
        <w:rPr>
          <w:rFonts w:ascii="Times New Roman" w:eastAsia="Times New Roman" w:hAnsi="Times New Roman" w:cs="Times New Roman"/>
          <w:color w:val="000000"/>
        </w:rPr>
        <w:t xml:space="preserve"> schools from investigating off-campus and online sexual harassment</w:t>
      </w:r>
      <w:r>
        <w:rPr>
          <w:rFonts w:ascii="Times New Roman" w:eastAsia="Times New Roman" w:hAnsi="Times New Roman" w:cs="Times New Roman"/>
          <w:color w:val="000000"/>
        </w:rPr>
        <w:t xml:space="preserve"> </w:t>
      </w:r>
      <w:r w:rsidRPr="008319BB">
        <w:rPr>
          <w:rFonts w:ascii="Times New Roman" w:eastAsia="Times New Roman" w:hAnsi="Times New Roman" w:cs="Times New Roman"/>
          <w:color w:val="000000"/>
        </w:rPr>
        <w:t>conflict with Clery’s reporting requirements.</w:t>
      </w:r>
      <w:r w:rsidRPr="008319BB">
        <w:rPr>
          <w:rFonts w:ascii="Times New Roman" w:hAnsi="Times New Roman" w:cs="Times New Roman"/>
        </w:rPr>
        <w:t xml:space="preserve"> The Clery Act requires colleges and universities to notify all students who report sexual assault, stalking, dating violence, and domestic violence of their rights, regardless of “whether the offense occurred on or off campus.”</w:t>
      </w:r>
      <w:r w:rsidRPr="1627AC4F">
        <w:rPr>
          <w:rStyle w:val="FootnoteReference"/>
          <w:rFonts w:cs="Times New Roman"/>
        </w:rPr>
        <w:footnoteReference w:id="116"/>
      </w:r>
      <w:r w:rsidRPr="008319BB">
        <w:rPr>
          <w:rFonts w:ascii="Times New Roman" w:hAnsi="Times New Roman" w:cs="Times New Roman"/>
        </w:rPr>
        <w:t xml:space="preserve"> The Clery Act also requires colleges and universities to report all sexual assault, stalking, dating violence, and domestic violence that occur on “Clery geography,” which includes all property controlled by a school-recognized student organization (such as an off-campus fraternity); nearby “public property”; and “areas within the patrol jurisdiction of the campus police or the campus security department.”</w:t>
      </w:r>
      <w:r w:rsidRPr="1627AC4F">
        <w:rPr>
          <w:rStyle w:val="FootnoteReference"/>
          <w:rFonts w:cs="Times New Roman"/>
        </w:rPr>
        <w:footnoteReference w:id="117"/>
      </w:r>
      <w:r w:rsidRPr="008319BB">
        <w:rPr>
          <w:rFonts w:ascii="Times New Roman" w:hAnsi="Times New Roman" w:cs="Times New Roman"/>
        </w:rPr>
        <w:t xml:space="preserve"> </w:t>
      </w:r>
      <w:r>
        <w:rPr>
          <w:rFonts w:ascii="Times New Roman" w:hAnsi="Times New Roman" w:cs="Times New Roman"/>
        </w:rPr>
        <w:t xml:space="preserve">The proposed rules would undermine Clery’s mandate and create a perverse system in which schools would be required to report instances of sexual assault that off-campus to the Department, but would be required by the Department to dismiss these complaints and not investigate them. </w:t>
      </w:r>
    </w:p>
    <w:p w14:paraId="382DD0F1" w14:textId="77777777" w:rsidR="000B2C8D" w:rsidRDefault="000B2C8D" w:rsidP="000B2C8D">
      <w:pPr>
        <w:spacing w:after="0" w:line="240" w:lineRule="auto"/>
        <w:ind w:firstLine="720"/>
        <w:jc w:val="both"/>
        <w:textAlignment w:val="baseline"/>
        <w:rPr>
          <w:rFonts w:ascii="Times New Roman" w:hAnsi="Times New Roman" w:cs="Times New Roman"/>
        </w:rPr>
      </w:pPr>
    </w:p>
    <w:p w14:paraId="50B58D4F" w14:textId="77777777" w:rsidR="000B2C8D" w:rsidRDefault="000B2C8D" w:rsidP="000B2C8D">
      <w:pPr>
        <w:spacing w:after="0" w:line="240" w:lineRule="auto"/>
        <w:ind w:firstLine="720"/>
        <w:jc w:val="both"/>
        <w:textAlignment w:val="baseline"/>
        <w:rPr>
          <w:rFonts w:ascii="Times New Roman" w:hAnsi="Times New Roman" w:cs="Times New Roman"/>
        </w:rPr>
      </w:pPr>
      <w:r>
        <w:rPr>
          <w:rFonts w:ascii="Times New Roman" w:hAnsi="Times New Roman" w:cs="Times New Roman"/>
        </w:rPr>
        <w:t>Clery also requires that investigations of sexual harassment and assault be “prompt, fair, and impartial.”</w:t>
      </w:r>
      <w:r>
        <w:rPr>
          <w:rStyle w:val="FootnoteReference"/>
          <w:rFonts w:cs="Times New Roman"/>
        </w:rPr>
        <w:footnoteReference w:id="118"/>
      </w:r>
      <w:r>
        <w:rPr>
          <w:rFonts w:ascii="Times New Roman" w:hAnsi="Times New Roman" w:cs="Times New Roman"/>
        </w:rPr>
        <w:t xml:space="preserve"> But t</w:t>
      </w:r>
      <w:r w:rsidRPr="008319BB">
        <w:rPr>
          <w:rFonts w:ascii="Times New Roman" w:hAnsi="Times New Roman" w:cs="Times New Roman"/>
        </w:rPr>
        <w:t xml:space="preserve">he proposed rules’ unclear timeframe for investigations conflicts with Clery’s </w:t>
      </w:r>
      <w:r>
        <w:rPr>
          <w:rFonts w:ascii="Times New Roman" w:hAnsi="Times New Roman" w:cs="Times New Roman"/>
        </w:rPr>
        <w:t xml:space="preserve">mandate that investigations be prompt. And the many proposed rules discussed above that tilt investigation procedures in favor of the respondent are anything but fair and impartial. </w:t>
      </w:r>
    </w:p>
    <w:p w14:paraId="5FFAEEC8" w14:textId="77777777" w:rsidR="000B2C8D" w:rsidRPr="008319BB" w:rsidRDefault="000B2C8D" w:rsidP="000B2C8D">
      <w:pPr>
        <w:spacing w:after="0" w:line="240" w:lineRule="auto"/>
        <w:jc w:val="both"/>
        <w:textAlignment w:val="baseline"/>
        <w:rPr>
          <w:rFonts w:ascii="Times New Roman" w:hAnsi="Times New Roman" w:cs="Times New Roman"/>
        </w:rPr>
      </w:pPr>
    </w:p>
    <w:p w14:paraId="38A75BC1" w14:textId="77777777" w:rsidR="000B2C8D" w:rsidRPr="008319BB" w:rsidRDefault="000B2C8D" w:rsidP="000B2C8D">
      <w:pPr>
        <w:spacing w:after="0" w:line="240" w:lineRule="auto"/>
        <w:ind w:firstLine="720"/>
        <w:jc w:val="both"/>
        <w:textAlignment w:val="baseline"/>
        <w:rPr>
          <w:rFonts w:ascii="Times New Roman" w:hAnsi="Times New Roman" w:cs="Times New Roman"/>
        </w:rPr>
      </w:pPr>
      <w:r w:rsidRPr="008319BB">
        <w:rPr>
          <w:rFonts w:ascii="Times New Roman" w:hAnsi="Times New Roman" w:cs="Times New Roman"/>
        </w:rPr>
        <w:t xml:space="preserve">Although </w:t>
      </w:r>
      <w:r>
        <w:rPr>
          <w:rFonts w:ascii="Times New Roman" w:hAnsi="Times New Roman" w:cs="Times New Roman"/>
        </w:rPr>
        <w:t>the Department</w:t>
      </w:r>
      <w:r w:rsidRPr="008319BB">
        <w:rPr>
          <w:rFonts w:ascii="Times New Roman" w:hAnsi="Times New Roman" w:cs="Times New Roman"/>
        </w:rPr>
        <w:t xml:space="preserve"> acknowledges that Title IX and the Clery Act’s “jurisdictional schemes … may overlap in certain situations</w:t>
      </w:r>
      <w:r>
        <w:rPr>
          <w:rFonts w:ascii="Times New Roman" w:hAnsi="Times New Roman" w:cs="Times New Roman"/>
        </w:rPr>
        <w:t>,</w:t>
      </w:r>
      <w:r w:rsidRPr="008319BB">
        <w:rPr>
          <w:rFonts w:ascii="Times New Roman" w:hAnsi="Times New Roman" w:cs="Times New Roman"/>
        </w:rPr>
        <w:t>”</w:t>
      </w:r>
      <w:r>
        <w:rPr>
          <w:rStyle w:val="FootnoteReference"/>
          <w:rFonts w:cs="Times New Roman"/>
        </w:rPr>
        <w:footnoteReference w:id="119"/>
      </w:r>
      <w:r w:rsidRPr="008319BB">
        <w:rPr>
          <w:rFonts w:ascii="Times New Roman" w:hAnsi="Times New Roman" w:cs="Times New Roman"/>
        </w:rPr>
        <w:t xml:space="preserve"> it fails to explain </w:t>
      </w:r>
      <w:r>
        <w:rPr>
          <w:rFonts w:ascii="Times New Roman" w:hAnsi="Times New Roman" w:cs="Times New Roman"/>
        </w:rPr>
        <w:t>how</w:t>
      </w:r>
      <w:r w:rsidRPr="008319BB">
        <w:rPr>
          <w:rFonts w:ascii="Times New Roman" w:hAnsi="Times New Roman" w:cs="Times New Roman"/>
        </w:rPr>
        <w:t xml:space="preserve"> institutions of higher education should </w:t>
      </w:r>
      <w:r>
        <w:rPr>
          <w:rFonts w:ascii="Times New Roman" w:hAnsi="Times New Roman" w:cs="Times New Roman"/>
        </w:rPr>
        <w:t>resolve the conflicts between two</w:t>
      </w:r>
      <w:r w:rsidRPr="008319BB">
        <w:rPr>
          <w:rFonts w:ascii="Times New Roman" w:hAnsi="Times New Roman" w:cs="Times New Roman"/>
        </w:rPr>
        <w:t xml:space="preserve"> different sets of rules when addressing sexual harassment. These different sets of rules would likely create widespread confusion for schools. </w:t>
      </w:r>
    </w:p>
    <w:p w14:paraId="0777C093" w14:textId="77777777" w:rsidR="000B2C8D" w:rsidRPr="008319BB" w:rsidRDefault="000B2C8D" w:rsidP="000B2C8D">
      <w:pPr>
        <w:spacing w:after="0" w:line="240" w:lineRule="auto"/>
        <w:jc w:val="both"/>
        <w:textAlignment w:val="baseline"/>
        <w:rPr>
          <w:rFonts w:ascii="Times New Roman" w:hAnsi="Times New Roman" w:cs="Times New Roman"/>
        </w:rPr>
      </w:pPr>
    </w:p>
    <w:p w14:paraId="1823897E" w14:textId="77777777" w:rsidR="000B2C8D" w:rsidRPr="008319BB" w:rsidRDefault="000B2C8D" w:rsidP="000B2C8D">
      <w:pPr>
        <w:pStyle w:val="ListParagraph"/>
        <w:numPr>
          <w:ilvl w:val="0"/>
          <w:numId w:val="27"/>
        </w:numPr>
        <w:spacing w:after="0"/>
        <w:rPr>
          <w:rFonts w:ascii="Times New Roman" w:hAnsi="Times New Roman" w:cs="Times New Roman"/>
          <w:b/>
          <w:bCs/>
        </w:rPr>
      </w:pPr>
      <w:r w:rsidRPr="008319BB">
        <w:rPr>
          <w:rFonts w:ascii="Times New Roman" w:hAnsi="Times New Roman" w:cs="Times New Roman"/>
          <w:b/>
          <w:bCs/>
        </w:rPr>
        <w:t xml:space="preserve">The proposed rules </w:t>
      </w:r>
      <w:r w:rsidRPr="008319BB">
        <w:rPr>
          <w:rFonts w:ascii="Times New Roman" w:hAnsi="Times New Roman" w:cs="Times New Roman"/>
          <w:b/>
          <w:bCs/>
          <w:i/>
          <w:iCs/>
        </w:rPr>
        <w:t>requiring</w:t>
      </w:r>
      <w:r w:rsidRPr="008319BB">
        <w:rPr>
          <w:rFonts w:ascii="Times New Roman" w:hAnsi="Times New Roman" w:cs="Times New Roman"/>
          <w:b/>
          <w:bCs/>
        </w:rPr>
        <w:t xml:space="preserve"> schools to dismiss harassment complaints go beyond Ed’s authority to effectuate the nondiscrimination provisions of Title IX and are practically unworkable. </w:t>
      </w:r>
    </w:p>
    <w:p w14:paraId="265E6232" w14:textId="77777777" w:rsidR="000B2C8D" w:rsidRPr="008319BB" w:rsidRDefault="000B2C8D" w:rsidP="000B2C8D">
      <w:pPr>
        <w:spacing w:after="0"/>
        <w:rPr>
          <w:rFonts w:ascii="Times New Roman" w:hAnsi="Times New Roman" w:cs="Times New Roman"/>
          <w:b/>
        </w:rPr>
      </w:pPr>
    </w:p>
    <w:p w14:paraId="0DE9CD37" w14:textId="77777777" w:rsidR="000B2C8D" w:rsidRPr="008319BB" w:rsidRDefault="000B2C8D" w:rsidP="000B2C8D">
      <w:pPr>
        <w:spacing w:after="0" w:line="240" w:lineRule="auto"/>
        <w:ind w:firstLine="720"/>
        <w:rPr>
          <w:rFonts w:ascii="Times New Roman" w:hAnsi="Times New Roman" w:cs="Times New Roman"/>
        </w:rPr>
      </w:pPr>
      <w:r w:rsidRPr="008319BB">
        <w:rPr>
          <w:rFonts w:ascii="Times New Roman" w:hAnsi="Times New Roman" w:cs="Times New Roman"/>
        </w:rPr>
        <w:t xml:space="preserve">Section 106.45(b)(3) of the proposed rules </w:t>
      </w:r>
      <w:r w:rsidRPr="1627AC4F">
        <w:rPr>
          <w:rFonts w:ascii="Times New Roman" w:hAnsi="Times New Roman" w:cs="Times New Roman"/>
          <w:i/>
          <w:iCs/>
        </w:rPr>
        <w:t xml:space="preserve">requires </w:t>
      </w:r>
      <w:r w:rsidRPr="008319BB">
        <w:rPr>
          <w:rFonts w:ascii="Times New Roman" w:hAnsi="Times New Roman" w:cs="Times New Roman"/>
        </w:rPr>
        <w:t xml:space="preserve">schools to dismiss complaints of sexual harassment if they don’t meet specific </w:t>
      </w:r>
      <w:r>
        <w:rPr>
          <w:rFonts w:ascii="Times New Roman" w:hAnsi="Times New Roman" w:cs="Times New Roman"/>
        </w:rPr>
        <w:t>narrow</w:t>
      </w:r>
      <w:r w:rsidRPr="008319BB">
        <w:rPr>
          <w:rFonts w:ascii="Times New Roman" w:hAnsi="Times New Roman" w:cs="Times New Roman"/>
        </w:rPr>
        <w:t xml:space="preserve"> standards. If it’s determined that harassment doesn’t meet the improperly narrow definition of severe, pervasive, </w:t>
      </w:r>
      <w:r w:rsidRPr="1627AC4F">
        <w:rPr>
          <w:rFonts w:ascii="Times New Roman" w:hAnsi="Times New Roman" w:cs="Times New Roman"/>
          <w:i/>
          <w:iCs/>
        </w:rPr>
        <w:t>and</w:t>
      </w:r>
      <w:r w:rsidRPr="008319BB">
        <w:rPr>
          <w:rFonts w:ascii="Times New Roman" w:hAnsi="Times New Roman" w:cs="Times New Roman"/>
        </w:rPr>
        <w:t xml:space="preserve"> objectively offensive harassment, it </w:t>
      </w:r>
      <w:r w:rsidRPr="1627AC4F">
        <w:rPr>
          <w:rFonts w:ascii="Times New Roman" w:hAnsi="Times New Roman" w:cs="Times New Roman"/>
          <w:i/>
          <w:iCs/>
        </w:rPr>
        <w:t xml:space="preserve">must </w:t>
      </w:r>
      <w:r w:rsidRPr="008319BB">
        <w:rPr>
          <w:rFonts w:ascii="Times New Roman" w:hAnsi="Times New Roman" w:cs="Times New Roman"/>
        </w:rPr>
        <w:t>be dismissed</w:t>
      </w:r>
      <w:r>
        <w:rPr>
          <w:rFonts w:ascii="Times New Roman" w:hAnsi="Times New Roman" w:cs="Times New Roman"/>
        </w:rPr>
        <w:t>, per the command of the rule</w:t>
      </w:r>
      <w:r w:rsidRPr="008319BB">
        <w:rPr>
          <w:rFonts w:ascii="Times New Roman" w:hAnsi="Times New Roman" w:cs="Times New Roman"/>
        </w:rPr>
        <w:t xml:space="preserve">. If severe, pervasive, </w:t>
      </w:r>
      <w:r w:rsidRPr="1627AC4F">
        <w:rPr>
          <w:rFonts w:ascii="Times New Roman" w:hAnsi="Times New Roman" w:cs="Times New Roman"/>
          <w:i/>
          <w:iCs/>
        </w:rPr>
        <w:t xml:space="preserve">and </w:t>
      </w:r>
      <w:r w:rsidRPr="008319BB">
        <w:rPr>
          <w:rFonts w:ascii="Times New Roman" w:hAnsi="Times New Roman" w:cs="Times New Roman"/>
        </w:rPr>
        <w:t xml:space="preserve">objectively offensive conduct occurs outside of an educational program or activity, including most off-campus or online harassment, it </w:t>
      </w:r>
      <w:r w:rsidRPr="1627AC4F">
        <w:rPr>
          <w:rFonts w:ascii="Times New Roman" w:hAnsi="Times New Roman" w:cs="Times New Roman"/>
          <w:i/>
          <w:iCs/>
        </w:rPr>
        <w:t xml:space="preserve">must </w:t>
      </w:r>
      <w:r w:rsidRPr="008319BB">
        <w:rPr>
          <w:rFonts w:ascii="Times New Roman" w:hAnsi="Times New Roman" w:cs="Times New Roman"/>
        </w:rPr>
        <w:t xml:space="preserve">be dismissed. However, </w:t>
      </w:r>
      <w:r>
        <w:rPr>
          <w:rFonts w:ascii="Times New Roman" w:hAnsi="Times New Roman" w:cs="Times New Roman"/>
        </w:rPr>
        <w:t>the Department</w:t>
      </w:r>
      <w:r w:rsidRPr="008319BB">
        <w:rPr>
          <w:rFonts w:ascii="Times New Roman" w:hAnsi="Times New Roman" w:cs="Times New Roman"/>
        </w:rPr>
        <w:t xml:space="preserve"> lacks the authority to require schools to dismiss complaints of discrimination. Under Title IX, </w:t>
      </w:r>
      <w:r>
        <w:rPr>
          <w:rFonts w:ascii="Times New Roman" w:hAnsi="Times New Roman" w:cs="Times New Roman"/>
        </w:rPr>
        <w:t>the Department</w:t>
      </w:r>
      <w:r w:rsidRPr="008319BB">
        <w:rPr>
          <w:rFonts w:ascii="Times New Roman" w:hAnsi="Times New Roman" w:cs="Times New Roman"/>
        </w:rPr>
        <w:t xml:space="preserve"> is only authorized to issue rules “to effectuate the [anti-discrimination] provision of [Title IX].” Title IX does not delegate to </w:t>
      </w:r>
      <w:r>
        <w:rPr>
          <w:rFonts w:ascii="Times New Roman" w:hAnsi="Times New Roman" w:cs="Times New Roman"/>
        </w:rPr>
        <w:t>the Department</w:t>
      </w:r>
      <w:r w:rsidRPr="008319BB">
        <w:rPr>
          <w:rFonts w:ascii="Times New Roman" w:hAnsi="Times New Roman" w:cs="Times New Roman"/>
        </w:rPr>
        <w:t xml:space="preserve"> the authority to tell schools </w:t>
      </w:r>
      <w:r w:rsidRPr="1627AC4F">
        <w:rPr>
          <w:rFonts w:ascii="Times New Roman" w:hAnsi="Times New Roman" w:cs="Times New Roman"/>
          <w:i/>
          <w:iCs/>
        </w:rPr>
        <w:t>when they cannot</w:t>
      </w:r>
      <w:r w:rsidRPr="008319BB">
        <w:rPr>
          <w:rFonts w:ascii="Times New Roman" w:hAnsi="Times New Roman" w:cs="Times New Roman"/>
        </w:rPr>
        <w:t xml:space="preserve"> protect students against sex discrimination.</w:t>
      </w:r>
      <w:r w:rsidRPr="1627AC4F">
        <w:rPr>
          <w:rStyle w:val="FootnoteReference"/>
          <w:rFonts w:cs="Times New Roman"/>
        </w:rPr>
        <w:footnoteReference w:id="120"/>
      </w:r>
      <w:r w:rsidRPr="008319BB">
        <w:rPr>
          <w:rFonts w:ascii="Times New Roman" w:hAnsi="Times New Roman" w:cs="Times New Roman"/>
        </w:rPr>
        <w:t xml:space="preserve"> By requiring schools to dismiss certain types of complaints of sexual harassment, without regard to whether those forms of harassment deny students educational opportunities on the basis of sex, § 106.45(b)(3) fails to effectuate Title IX’s anti-discrimination mandate and would force many schools that already investigate off-campus conduct under their student conduct policies to abandon these anti-discrimination efforts. While </w:t>
      </w:r>
      <w:r>
        <w:rPr>
          <w:rFonts w:ascii="Times New Roman" w:hAnsi="Times New Roman" w:cs="Times New Roman"/>
        </w:rPr>
        <w:t>the Department</w:t>
      </w:r>
      <w:r w:rsidRPr="008319BB">
        <w:rPr>
          <w:rFonts w:ascii="Times New Roman" w:hAnsi="Times New Roman" w:cs="Times New Roman"/>
        </w:rPr>
        <w:t xml:space="preserve"> is well within its authority to require schools to adopt civil rights protections to effectuate Title IX’s mandate against sex discrimination, it is does not have authority to force schools to violate students’ and employees’ civil rights </w:t>
      </w:r>
      <w:r>
        <w:rPr>
          <w:rFonts w:ascii="Times New Roman" w:hAnsi="Times New Roman" w:cs="Times New Roman"/>
        </w:rPr>
        <w:t xml:space="preserve">under Title IX </w:t>
      </w:r>
      <w:r w:rsidRPr="008319BB">
        <w:rPr>
          <w:rFonts w:ascii="Times New Roman" w:hAnsi="Times New Roman" w:cs="Times New Roman"/>
        </w:rPr>
        <w:t>by forcing schools to ignore sexual harassment.</w:t>
      </w:r>
      <w:r>
        <w:rPr>
          <w:rFonts w:ascii="Times New Roman" w:hAnsi="Times New Roman" w:cs="Times New Roman"/>
        </w:rPr>
        <w:t xml:space="preserve"> </w:t>
      </w:r>
      <w:r w:rsidRPr="008319BB">
        <w:rPr>
          <w:rFonts w:ascii="Times New Roman" w:hAnsi="Times New Roman" w:cs="Times New Roman"/>
        </w:rPr>
        <w:t xml:space="preserve"> </w:t>
      </w:r>
    </w:p>
    <w:p w14:paraId="5D728188" w14:textId="77777777" w:rsidR="000B2C8D" w:rsidRPr="008319BB" w:rsidRDefault="000B2C8D" w:rsidP="000B2C8D">
      <w:pPr>
        <w:spacing w:after="0" w:line="240" w:lineRule="auto"/>
        <w:rPr>
          <w:rFonts w:ascii="Times New Roman" w:hAnsi="Times New Roman" w:cs="Times New Roman"/>
        </w:rPr>
      </w:pPr>
    </w:p>
    <w:p w14:paraId="0CE03459" w14:textId="77777777" w:rsidR="000B2C8D" w:rsidRDefault="000B2C8D" w:rsidP="000B2C8D">
      <w:pPr>
        <w:spacing w:after="0" w:line="240" w:lineRule="auto"/>
        <w:ind w:firstLine="720"/>
        <w:rPr>
          <w:rFonts w:ascii="Times New Roman" w:hAnsi="Times New Roman" w:cs="Times New Roman"/>
        </w:rPr>
      </w:pPr>
      <w:r>
        <w:rPr>
          <w:rFonts w:ascii="Times New Roman" w:hAnsi="Times New Roman" w:cs="Times New Roman"/>
        </w:rPr>
        <w:t>The Department</w:t>
      </w:r>
      <w:r w:rsidRPr="008319BB">
        <w:rPr>
          <w:rFonts w:ascii="Times New Roman" w:hAnsi="Times New Roman" w:cs="Times New Roman"/>
        </w:rPr>
        <w:t xml:space="preserve"> notes that if conduct doesn’t meet the proposed rule’s definition of harassment or occurs off-campus, schools may still process the complaint under a different conduct code, but not Title IX. This “solution” to its required dismissals for Title IX investigations is confusing and impractical. </w:t>
      </w:r>
      <w:r>
        <w:rPr>
          <w:rFonts w:ascii="Times New Roman" w:hAnsi="Times New Roman" w:cs="Times New Roman"/>
        </w:rPr>
        <w:t>The proposed regulations offer no guidance or safe harbor for schools to offer parallel sexual harassment proceedings that do not comply with the detailed and burdensome procedural requirements set out in the proposed rule. Schools that did so would no doubt be forced to contend with respondents’ complaints that the school had failed to comply with the requirements set out in the NPRM and thus violated respondents’ rights as described in the NPRM.</w:t>
      </w:r>
    </w:p>
    <w:p w14:paraId="3ED43656" w14:textId="77777777" w:rsidR="000B2C8D" w:rsidRDefault="000B2C8D" w:rsidP="000B2C8D">
      <w:pPr>
        <w:jc w:val="center"/>
      </w:pPr>
      <w:r>
        <w:rPr>
          <w:rFonts w:ascii="Times New Roman" w:hAnsi="Times New Roman" w:cs="Times New Roman"/>
        </w:rPr>
        <w:t>---------------</w:t>
      </w:r>
    </w:p>
    <w:p w14:paraId="6E3568DE" w14:textId="77777777" w:rsidR="000B2C8D" w:rsidRDefault="000B2C8D" w:rsidP="000B2C8D">
      <w:pPr>
        <w:spacing w:after="0" w:line="240" w:lineRule="auto"/>
        <w:jc w:val="center"/>
        <w:rPr>
          <w:rFonts w:ascii="Times New Roman" w:hAnsi="Times New Roman" w:cs="Times New Roman"/>
        </w:rPr>
      </w:pPr>
    </w:p>
    <w:p w14:paraId="1204EE82" w14:textId="77777777" w:rsidR="000B2C8D" w:rsidRDefault="000B2C8D" w:rsidP="000B2C8D">
      <w:pPr>
        <w:spacing w:after="0" w:line="240" w:lineRule="auto"/>
        <w:rPr>
          <w:rFonts w:ascii="Times New Roman" w:hAnsi="Times New Roman" w:cs="Times New Roman"/>
        </w:rPr>
      </w:pPr>
      <w:r>
        <w:rPr>
          <w:rFonts w:ascii="Times New Roman" w:hAnsi="Times New Roman" w:cs="Times New Roman"/>
        </w:rPr>
        <w:tab/>
        <w:t xml:space="preserve">The Department’s proposed rules import inappropriate legal standards into agency enforcement, rely on sexist stereotypes about survivors of sexual harassment and assault, and impose procedural requirements that force schools to tilt their Title IX investigation processes in favor of named accusers to the detriment of survivors. Instead of effectuating Title IX’s prohibition on sex discrimination in schools, these rules serve only to protect schools from liability when they fail to address complaints of sexual harassment and assault. The Shriver Center calls on the Department of Education to immediately withdraw this NPRM and instead focus its energies on vigorously enforcing the Title IX requirements that the Department has relied on for decades, to ensure that schools promptly and effectively respond to sexual harassment. </w:t>
      </w:r>
    </w:p>
    <w:p w14:paraId="623EAD64" w14:textId="77777777" w:rsidR="000B2C8D" w:rsidRDefault="000B2C8D" w:rsidP="000B2C8D">
      <w:pPr>
        <w:spacing w:after="0" w:line="240" w:lineRule="auto"/>
        <w:rPr>
          <w:rFonts w:ascii="Times New Roman" w:hAnsi="Times New Roman" w:cs="Times New Roman"/>
        </w:rPr>
      </w:pPr>
    </w:p>
    <w:p w14:paraId="198ED010" w14:textId="77777777" w:rsidR="000B2C8D" w:rsidRPr="002433BC" w:rsidRDefault="000B2C8D" w:rsidP="000B2C8D">
      <w:pPr>
        <w:spacing w:after="0" w:line="240" w:lineRule="auto"/>
        <w:rPr>
          <w:rFonts w:ascii="Times New Roman" w:hAnsi="Times New Roman" w:cs="Times New Roman"/>
        </w:rPr>
      </w:pPr>
      <w:r w:rsidRPr="4C8F8DD4">
        <w:rPr>
          <w:rFonts w:ascii="Times New Roman" w:hAnsi="Times New Roman" w:cs="Times New Roman"/>
        </w:rPr>
        <w:t>Thank you for the opportunity to submit comments on the NPRM. Please do not hesitate to contact</w:t>
      </w:r>
      <w:r w:rsidRPr="4C8F8DD4">
        <w:rPr>
          <w:rFonts w:ascii="Times New Roman" w:hAnsi="Times New Roman" w:cs="Times New Roman"/>
          <w:b/>
          <w:bCs/>
        </w:rPr>
        <w:t xml:space="preserve"> </w:t>
      </w:r>
      <w:r w:rsidRPr="00A81CD6">
        <w:rPr>
          <w:rFonts w:ascii="Times New Roman" w:hAnsi="Times New Roman" w:cs="Times New Roman"/>
          <w:bCs/>
        </w:rPr>
        <w:t>me at</w:t>
      </w:r>
      <w:r>
        <w:rPr>
          <w:rFonts w:ascii="Times New Roman" w:hAnsi="Times New Roman" w:cs="Times New Roman"/>
          <w:b/>
          <w:bCs/>
        </w:rPr>
        <w:t xml:space="preserve"> </w:t>
      </w:r>
      <w:r>
        <w:rPr>
          <w:rFonts w:ascii="Times New Roman" w:hAnsi="Times New Roman" w:cs="Times New Roman"/>
        </w:rPr>
        <w:t xml:space="preserve">312-368-3303 or </w:t>
      </w:r>
      <w:hyperlink r:id="rId12" w:history="1">
        <w:r w:rsidRPr="007256F3">
          <w:rPr>
            <w:rStyle w:val="Hyperlink"/>
            <w:rFonts w:ascii="Times New Roman" w:hAnsi="Times New Roman" w:cs="Times New Roman"/>
          </w:rPr>
          <w:t>wendypollack@povertylaw.org</w:t>
        </w:r>
      </w:hyperlink>
      <w:r>
        <w:rPr>
          <w:rFonts w:ascii="Times New Roman" w:hAnsi="Times New Roman" w:cs="Times New Roman"/>
        </w:rPr>
        <w:t xml:space="preserve"> </w:t>
      </w:r>
      <w:r w:rsidRPr="4C8F8DD4">
        <w:rPr>
          <w:rFonts w:ascii="Times New Roman" w:hAnsi="Times New Roman" w:cs="Times New Roman"/>
        </w:rPr>
        <w:t>to provide further information.</w:t>
      </w:r>
    </w:p>
    <w:p w14:paraId="16D0BD86" w14:textId="77777777" w:rsidR="000B2C8D" w:rsidRPr="008319BB" w:rsidRDefault="000B2C8D" w:rsidP="000B2C8D">
      <w:pPr>
        <w:spacing w:after="0"/>
        <w:jc w:val="center"/>
        <w:rPr>
          <w:rFonts w:ascii="Times New Roman" w:hAnsi="Times New Roman" w:cs="Times New Roman"/>
        </w:rPr>
      </w:pPr>
    </w:p>
    <w:p w14:paraId="61036AA3" w14:textId="77777777" w:rsidR="000B2C8D" w:rsidRDefault="000B2C8D" w:rsidP="000B2C8D">
      <w:pPr>
        <w:spacing w:after="0"/>
        <w:rPr>
          <w:rFonts w:ascii="Times New Roman" w:hAnsi="Times New Roman" w:cs="Times New Roman"/>
        </w:rPr>
      </w:pPr>
      <w:r>
        <w:rPr>
          <w:rFonts w:ascii="Times New Roman" w:hAnsi="Times New Roman" w:cs="Times New Roman"/>
        </w:rPr>
        <w:t>Sincerely,</w:t>
      </w:r>
    </w:p>
    <w:p w14:paraId="5B1EC874" w14:textId="77777777" w:rsidR="000B2C8D" w:rsidRDefault="000B2C8D" w:rsidP="000B2C8D">
      <w:pPr>
        <w:spacing w:after="0"/>
        <w:rPr>
          <w:rFonts w:ascii="Times New Roman" w:hAnsi="Times New Roman" w:cs="Times New Roman"/>
        </w:rPr>
      </w:pPr>
    </w:p>
    <w:p w14:paraId="46FCF0CB" w14:textId="77777777" w:rsidR="000B2C8D" w:rsidRDefault="000B2C8D" w:rsidP="000B2C8D">
      <w:pPr>
        <w:spacing w:after="0"/>
        <w:rPr>
          <w:rFonts w:ascii="Times New Roman" w:hAnsi="Times New Roman" w:cs="Times New Roman"/>
        </w:rPr>
      </w:pPr>
      <w:r>
        <w:rPr>
          <w:rFonts w:ascii="Times New Roman" w:hAnsi="Times New Roman" w:cs="Times New Roman"/>
        </w:rPr>
        <w:t>Wendy Pollack</w:t>
      </w:r>
    </w:p>
    <w:p w14:paraId="70AE6FBD" w14:textId="77777777" w:rsidR="000B2C8D" w:rsidRDefault="000B2C8D" w:rsidP="000B2C8D">
      <w:pPr>
        <w:spacing w:after="0"/>
        <w:rPr>
          <w:rFonts w:ascii="Times New Roman" w:hAnsi="Times New Roman" w:cs="Times New Roman"/>
        </w:rPr>
      </w:pPr>
      <w:r>
        <w:rPr>
          <w:rFonts w:ascii="Times New Roman" w:hAnsi="Times New Roman" w:cs="Times New Roman"/>
        </w:rPr>
        <w:t>Women’s Law &amp; Policy Initiative Director</w:t>
      </w:r>
    </w:p>
    <w:p w14:paraId="6F019740" w14:textId="77777777" w:rsidR="000B2C8D" w:rsidRPr="008319BB" w:rsidRDefault="000B2C8D" w:rsidP="000B2C8D">
      <w:pPr>
        <w:spacing w:after="0"/>
        <w:rPr>
          <w:rFonts w:ascii="Times New Roman" w:hAnsi="Times New Roman" w:cs="Times New Roman"/>
        </w:rPr>
      </w:pPr>
      <w:r>
        <w:rPr>
          <w:rFonts w:ascii="Times New Roman" w:hAnsi="Times New Roman" w:cs="Times New Roman"/>
        </w:rPr>
        <w:t>Sargent Shriver National Center on Poverty Law</w:t>
      </w:r>
    </w:p>
    <w:p w14:paraId="2B145A2D" w14:textId="77777777" w:rsidR="000C4E58" w:rsidRDefault="000C4E58" w:rsidP="00305E93">
      <w:pPr>
        <w:ind w:left="1008" w:right="1008"/>
      </w:pPr>
    </w:p>
    <w:p w14:paraId="46D447CA" w14:textId="77777777" w:rsidR="00305E93" w:rsidRDefault="00305E93" w:rsidP="00305E93">
      <w:pPr>
        <w:ind w:left="1008" w:right="1008"/>
      </w:pPr>
    </w:p>
    <w:p w14:paraId="58D2E93F" w14:textId="77777777" w:rsidR="00305E93" w:rsidRDefault="00305E93" w:rsidP="00305E93">
      <w:pPr>
        <w:ind w:left="1008" w:right="1008"/>
      </w:pPr>
    </w:p>
    <w:p w14:paraId="2E4B0010" w14:textId="77777777" w:rsidR="00305E93" w:rsidRDefault="00305E93" w:rsidP="00305E93">
      <w:pPr>
        <w:ind w:left="1008" w:right="1008"/>
      </w:pPr>
    </w:p>
    <w:p w14:paraId="0E4E280D" w14:textId="77777777" w:rsidR="00305E93" w:rsidRDefault="00305E93" w:rsidP="00305E93">
      <w:pPr>
        <w:ind w:left="1008" w:right="1008"/>
      </w:pPr>
    </w:p>
    <w:p w14:paraId="67634413" w14:textId="77777777" w:rsidR="00305E93" w:rsidRDefault="00305E93" w:rsidP="00305E93">
      <w:pPr>
        <w:ind w:left="1008" w:right="1008"/>
      </w:pPr>
    </w:p>
    <w:p w14:paraId="6637866F" w14:textId="77777777" w:rsidR="00305E93" w:rsidRDefault="00305E93" w:rsidP="00305E93">
      <w:pPr>
        <w:ind w:left="1008" w:right="1008"/>
      </w:pPr>
    </w:p>
    <w:p w14:paraId="7B2D41FD" w14:textId="77777777" w:rsidR="00305E93" w:rsidRPr="000B4E9A" w:rsidRDefault="00305E93" w:rsidP="00305E93">
      <w:pPr>
        <w:ind w:left="1008" w:right="1008"/>
      </w:pPr>
    </w:p>
    <w:sectPr w:rsidR="00305E93" w:rsidRPr="000B4E9A" w:rsidSect="000B2C8D">
      <w:headerReference w:type="default" r:id="rId13"/>
      <w:footerReference w:type="default" r:id="rId14"/>
      <w:headerReference w:type="first" r:id="rId15"/>
      <w:footerReference w:type="first" r:id="rId16"/>
      <w:pgSz w:w="12240" w:h="15840"/>
      <w:pgMar w:top="1440" w:right="1440" w:bottom="1440" w:left="1440" w:header="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09A4C" w14:textId="77777777" w:rsidR="0017374F" w:rsidRDefault="0017374F">
      <w:pPr>
        <w:spacing w:line="240" w:lineRule="auto"/>
      </w:pPr>
      <w:r>
        <w:separator/>
      </w:r>
    </w:p>
  </w:endnote>
  <w:endnote w:type="continuationSeparator" w:id="0">
    <w:p w14:paraId="3510E666" w14:textId="77777777" w:rsidR="0017374F" w:rsidRDefault="001737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Palatino">
    <w:charset w:val="00"/>
    <w:family w:val="roman"/>
    <w:pitch w:val="variable"/>
    <w:sig w:usb0="A00002FF" w:usb1="7800205A" w:usb2="14600000" w:usb3="00000000" w:csb0="00000193"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1BB7F" w14:textId="77777777" w:rsidR="00C2298B" w:rsidRDefault="00C2298B" w:rsidP="00F2378E">
    <w:pPr>
      <w:pStyle w:val="Footer"/>
      <w:ind w:left="-1944" w:right="-19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5C49D" w14:textId="77777777" w:rsidR="000C4E58" w:rsidRDefault="000C4E58">
    <w:pPr>
      <w:pStyle w:val="Footer"/>
    </w:pPr>
    <w:r>
      <w:rPr>
        <w:noProof/>
        <w:szCs w:val="20"/>
      </w:rPr>
      <w:drawing>
        <wp:anchor distT="0" distB="0" distL="114300" distR="114300" simplePos="0" relativeHeight="251659776" behindDoc="0" locked="0" layoutInCell="1" allowOverlap="1" wp14:anchorId="105E69AF" wp14:editId="1109065D">
          <wp:simplePos x="0" y="0"/>
          <wp:positionH relativeFrom="page">
            <wp:posOffset>67310</wp:posOffset>
          </wp:positionH>
          <wp:positionV relativeFrom="page">
            <wp:posOffset>9118600</wp:posOffset>
          </wp:positionV>
          <wp:extent cx="7332345" cy="431800"/>
          <wp:effectExtent l="0" t="0" r="8255" b="0"/>
          <wp:wrapThrough wrapText="bothSides">
            <wp:wrapPolygon edited="0">
              <wp:start x="2320" y="0"/>
              <wp:lineTo x="0" y="6353"/>
              <wp:lineTo x="0" y="20329"/>
              <wp:lineTo x="21475" y="20329"/>
              <wp:lineTo x="21549" y="15247"/>
              <wp:lineTo x="21549" y="8894"/>
              <wp:lineTo x="2694" y="0"/>
              <wp:lineTo x="2320" y="0"/>
            </wp:wrapPolygon>
          </wp:wrapThrough>
          <wp:docPr id="10" name="Picture 10" descr="Shriver_Letterhead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river_Letterhead_Footer"/>
                  <pic:cNvPicPr>
                    <a:picLocks noChangeAspect="1" noChangeArrowheads="1"/>
                  </pic:cNvPicPr>
                </pic:nvPicPr>
                <pic:blipFill rotWithShape="1">
                  <a:blip r:embed="rId1">
                    <a:extLst>
                      <a:ext uri="{28A0092B-C50C-407E-A947-70E740481C1C}">
                        <a14:useLocalDpi xmlns:a14="http://schemas.microsoft.com/office/drawing/2010/main" val="0"/>
                      </a:ext>
                    </a:extLst>
                  </a:blip>
                  <a:srcRect b="32872"/>
                  <a:stretch/>
                </pic:blipFill>
                <pic:spPr bwMode="auto">
                  <a:xfrm>
                    <a:off x="0" y="0"/>
                    <a:ext cx="7332345" cy="431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747D5" w14:textId="77777777" w:rsidR="0017374F" w:rsidRDefault="0017374F">
      <w:pPr>
        <w:spacing w:line="240" w:lineRule="auto"/>
      </w:pPr>
      <w:r>
        <w:separator/>
      </w:r>
    </w:p>
  </w:footnote>
  <w:footnote w:type="continuationSeparator" w:id="0">
    <w:p w14:paraId="44FD2364" w14:textId="77777777" w:rsidR="0017374F" w:rsidRDefault="0017374F">
      <w:pPr>
        <w:spacing w:line="240" w:lineRule="auto"/>
      </w:pPr>
      <w:r>
        <w:continuationSeparator/>
      </w:r>
    </w:p>
  </w:footnote>
  <w:footnote w:id="1">
    <w:p w14:paraId="17CB9C02" w14:textId="77777777"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Catherine Hill &amp; Holly Kearl, </w:t>
      </w:r>
      <w:r w:rsidRPr="00094D05">
        <w:rPr>
          <w:i/>
          <w:iCs/>
          <w:szCs w:val="18"/>
        </w:rPr>
        <w:t>Crossing the Line: Sexual Harassment at School</w:t>
      </w:r>
      <w:r w:rsidRPr="00094D05">
        <w:rPr>
          <w:szCs w:val="18"/>
        </w:rPr>
        <w:t xml:space="preserve">, AAUW (2011) [hereinafter </w:t>
      </w:r>
      <w:r w:rsidRPr="00094D05">
        <w:rPr>
          <w:i/>
          <w:szCs w:val="18"/>
        </w:rPr>
        <w:t>Crossing the Line</w:t>
      </w:r>
      <w:r w:rsidRPr="00094D05">
        <w:rPr>
          <w:szCs w:val="18"/>
        </w:rPr>
        <w:t xml:space="preserve">], </w:t>
      </w:r>
      <w:r w:rsidRPr="00094D05">
        <w:rPr>
          <w:i/>
          <w:iCs/>
          <w:szCs w:val="18"/>
        </w:rPr>
        <w:t>available at</w:t>
      </w:r>
      <w:r w:rsidRPr="00094D05">
        <w:rPr>
          <w:szCs w:val="18"/>
        </w:rPr>
        <w:t xml:space="preserve"> https://www.aauw.org/research/crossing-the-line.</w:t>
      </w:r>
    </w:p>
  </w:footnote>
  <w:footnote w:id="2">
    <w:p w14:paraId="792CBEDC" w14:textId="77777777"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National Women’s Law Center, </w:t>
      </w:r>
      <w:r w:rsidRPr="00094D05">
        <w:rPr>
          <w:i/>
          <w:szCs w:val="18"/>
        </w:rPr>
        <w:t xml:space="preserve">Let Her Learn: </w:t>
      </w:r>
      <w:r w:rsidRPr="00094D05">
        <w:rPr>
          <w:i/>
          <w:iCs/>
          <w:szCs w:val="18"/>
        </w:rPr>
        <w:t>Stopping School Pushout for: Girls Who Have Suffered Harassment and Sexual Violence</w:t>
      </w:r>
      <w:r w:rsidRPr="00094D05">
        <w:rPr>
          <w:szCs w:val="18"/>
        </w:rPr>
        <w:t xml:space="preserve"> 1 (Apr. 2017) [hereinafter </w:t>
      </w:r>
      <w:r w:rsidRPr="00094D05">
        <w:rPr>
          <w:i/>
          <w:szCs w:val="18"/>
        </w:rPr>
        <w:t>Let Her Learn: Sexual Harassment and Violence</w:t>
      </w:r>
      <w:r w:rsidRPr="00094D05">
        <w:rPr>
          <w:szCs w:val="18"/>
        </w:rPr>
        <w:t xml:space="preserve">], </w:t>
      </w:r>
      <w:r w:rsidRPr="00094D05">
        <w:rPr>
          <w:i/>
          <w:iCs/>
          <w:szCs w:val="18"/>
        </w:rPr>
        <w:t xml:space="preserve">available at </w:t>
      </w:r>
      <w:r w:rsidRPr="00094D05">
        <w:rPr>
          <w:szCs w:val="18"/>
        </w:rPr>
        <w:t>https://nwlc.org/resources/stopping-school-pushout-for-girls-who-have-suffered-harassment-and-sexual-violence.</w:t>
      </w:r>
    </w:p>
  </w:footnote>
  <w:footnote w:id="3">
    <w:p w14:paraId="44A2EF5D" w14:textId="77777777"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Catherine Hill &amp; Elena Silva, </w:t>
      </w:r>
      <w:r w:rsidRPr="00094D05">
        <w:rPr>
          <w:i/>
          <w:iCs/>
          <w:szCs w:val="18"/>
        </w:rPr>
        <w:t>Drawing the Line: Sexual Harassment on Campus</w:t>
      </w:r>
      <w:r w:rsidRPr="00094D05">
        <w:rPr>
          <w:szCs w:val="18"/>
        </w:rPr>
        <w:t xml:space="preserve">, AAUW 17, 19 (2005) [hereinafter </w:t>
      </w:r>
      <w:r w:rsidRPr="00094D05">
        <w:rPr>
          <w:i/>
          <w:szCs w:val="18"/>
        </w:rPr>
        <w:t>Drawing the Line</w:t>
      </w:r>
      <w:r w:rsidRPr="00094D05">
        <w:rPr>
          <w:szCs w:val="18"/>
        </w:rPr>
        <w:t xml:space="preserve">], </w:t>
      </w:r>
      <w:r w:rsidRPr="00094D05">
        <w:rPr>
          <w:i/>
          <w:iCs/>
          <w:szCs w:val="18"/>
        </w:rPr>
        <w:t>available at</w:t>
      </w:r>
      <w:r w:rsidRPr="00094D05">
        <w:rPr>
          <w:szCs w:val="18"/>
        </w:rPr>
        <w:t xml:space="preserve"> </w:t>
      </w:r>
      <w:hyperlink r:id="rId1" w:history="1">
        <w:r w:rsidRPr="00094D05">
          <w:rPr>
            <w:rStyle w:val="Hyperlink"/>
            <w:szCs w:val="18"/>
          </w:rPr>
          <w:t>https://history.aauw.org/aauw-research/2006-drawing-the-line</w:t>
        </w:r>
      </w:hyperlink>
      <w:r w:rsidRPr="00094D05">
        <w:rPr>
          <w:szCs w:val="18"/>
        </w:rPr>
        <w:t xml:space="preserve"> (noting differences in the types of sexual harassment and reactions to it).</w:t>
      </w:r>
    </w:p>
  </w:footnote>
  <w:footnote w:id="4">
    <w:p w14:paraId="39C59CED" w14:textId="77777777"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w:t>
      </w:r>
      <w:r w:rsidRPr="00094D05">
        <w:rPr>
          <w:i/>
          <w:iCs/>
          <w:szCs w:val="18"/>
        </w:rPr>
        <w:t>E.g.</w:t>
      </w:r>
      <w:r w:rsidRPr="00094D05">
        <w:rPr>
          <w:szCs w:val="18"/>
        </w:rPr>
        <w:t xml:space="preserve">, </w:t>
      </w:r>
      <w:r w:rsidRPr="00094D05">
        <w:rPr>
          <w:rFonts w:eastAsia="Times New Roman"/>
          <w:szCs w:val="18"/>
        </w:rPr>
        <w:t xml:space="preserve">David Cantor et al., </w:t>
      </w:r>
      <w:r w:rsidRPr="00094D05">
        <w:rPr>
          <w:rFonts w:eastAsia="Times New Roman"/>
          <w:i/>
          <w:iCs/>
          <w:szCs w:val="18"/>
        </w:rPr>
        <w:t>Report on the AAU Campus Climate Survey on Sexual Assault and Sexual Misconduct</w:t>
      </w:r>
      <w:r w:rsidRPr="00094D05">
        <w:rPr>
          <w:rFonts w:eastAsia="Times New Roman"/>
          <w:szCs w:val="18"/>
        </w:rPr>
        <w:t xml:space="preserve">, </w:t>
      </w:r>
      <w:r w:rsidRPr="00094D05">
        <w:rPr>
          <w:rFonts w:eastAsia="Times New Roman"/>
          <w:smallCaps/>
          <w:szCs w:val="18"/>
        </w:rPr>
        <w:t>Association of American Universities</w:t>
      </w:r>
      <w:r w:rsidRPr="00094D05">
        <w:rPr>
          <w:rFonts w:eastAsia="Times New Roman"/>
          <w:szCs w:val="18"/>
        </w:rPr>
        <w:t xml:space="preserve"> 13-14 (Sept. 2015) [hereinafter </w:t>
      </w:r>
      <w:r w:rsidRPr="00094D05">
        <w:rPr>
          <w:rFonts w:eastAsia="Times New Roman"/>
          <w:i/>
          <w:szCs w:val="18"/>
        </w:rPr>
        <w:t>AAU Campus Climate Survey</w:t>
      </w:r>
      <w:r w:rsidRPr="00094D05">
        <w:rPr>
          <w:rFonts w:eastAsia="Times New Roman"/>
          <w:szCs w:val="18"/>
        </w:rPr>
        <w:t xml:space="preserve">], </w:t>
      </w:r>
      <w:r w:rsidRPr="00094D05">
        <w:rPr>
          <w:rFonts w:eastAsia="Times New Roman"/>
          <w:i/>
          <w:iCs/>
          <w:szCs w:val="18"/>
        </w:rPr>
        <w:t>available at</w:t>
      </w:r>
      <w:r w:rsidRPr="00094D05">
        <w:rPr>
          <w:rFonts w:eastAsia="Times New Roman"/>
          <w:szCs w:val="18"/>
        </w:rPr>
        <w:t xml:space="preserve"> https://www.aau.edu/key-issues/aau-climate-survey-sexual-assault-and-sexual-misconduct-2015.</w:t>
      </w:r>
    </w:p>
  </w:footnote>
  <w:footnote w:id="5">
    <w:p w14:paraId="6D21F747" w14:textId="77777777"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w:t>
      </w:r>
      <w:r w:rsidRPr="00094D05">
        <w:rPr>
          <w:i/>
          <w:iCs/>
          <w:szCs w:val="18"/>
        </w:rPr>
        <w:t>E.g.</w:t>
      </w:r>
      <w:r w:rsidRPr="00094D05">
        <w:rPr>
          <w:szCs w:val="18"/>
        </w:rPr>
        <w:t xml:space="preserve">, Tyler Kingkade, </w:t>
      </w:r>
      <w:r w:rsidRPr="00094D05">
        <w:rPr>
          <w:i/>
          <w:iCs/>
          <w:szCs w:val="18"/>
        </w:rPr>
        <w:t>Males Are More Likely To Suffer Sexual Assault Than To Be Falsely Accused Of It</w:t>
      </w:r>
      <w:r w:rsidRPr="00094D05">
        <w:rPr>
          <w:szCs w:val="18"/>
        </w:rPr>
        <w:t xml:space="preserve">, </w:t>
      </w:r>
      <w:r w:rsidRPr="00094D05">
        <w:rPr>
          <w:smallCaps/>
          <w:szCs w:val="18"/>
        </w:rPr>
        <w:t xml:space="preserve">Huffington Post </w:t>
      </w:r>
      <w:r w:rsidRPr="00094D05">
        <w:rPr>
          <w:szCs w:val="18"/>
        </w:rPr>
        <w:t>(Dec. 8, 2014) [last updated Oct. 16, 2015], https://www.huffingtonpost.com/2014/12/08/false-rape-accusations_n_6290380.html.</w:t>
      </w:r>
    </w:p>
  </w:footnote>
  <w:footnote w:id="6">
    <w:p w14:paraId="4B184E10" w14:textId="77777777"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National Women’s Law Center, </w:t>
      </w:r>
      <w:r w:rsidRPr="00094D05">
        <w:rPr>
          <w:i/>
          <w:iCs/>
          <w:szCs w:val="18"/>
        </w:rPr>
        <w:t>Let Her Learn: Stopping School Pushout for Girls Who Are Pregnant or Parenting</w:t>
      </w:r>
      <w:r w:rsidRPr="00094D05">
        <w:rPr>
          <w:szCs w:val="18"/>
        </w:rPr>
        <w:t xml:space="preserve"> 12 (2017) [hereinafter </w:t>
      </w:r>
      <w:r w:rsidRPr="00094D05">
        <w:rPr>
          <w:i/>
          <w:szCs w:val="18"/>
        </w:rPr>
        <w:t xml:space="preserve">Let Her Learn: Pregnant </w:t>
      </w:r>
      <w:r>
        <w:rPr>
          <w:i/>
          <w:szCs w:val="18"/>
        </w:rPr>
        <w:t xml:space="preserve">or </w:t>
      </w:r>
      <w:r w:rsidRPr="00094D05">
        <w:rPr>
          <w:i/>
          <w:szCs w:val="18"/>
        </w:rPr>
        <w:t>Parenting Students</w:t>
      </w:r>
      <w:r w:rsidRPr="00094D05">
        <w:rPr>
          <w:szCs w:val="18"/>
        </w:rPr>
        <w:t>], available at https://nwlc.org/resources/ stopping-school-pushout-for-girls-who-are-pregnant-or-parenting.</w:t>
      </w:r>
    </w:p>
  </w:footnote>
  <w:footnote w:id="7">
    <w:p w14:paraId="7E778B9C" w14:textId="77777777" w:rsidR="000B2C8D" w:rsidRPr="00094D05" w:rsidRDefault="000B2C8D" w:rsidP="000B2C8D">
      <w:pPr>
        <w:pStyle w:val="FootnoteText"/>
        <w:rPr>
          <w:b/>
          <w:szCs w:val="18"/>
        </w:rPr>
      </w:pPr>
      <w:r w:rsidRPr="00094D05">
        <w:rPr>
          <w:rStyle w:val="FootnoteReference"/>
          <w:szCs w:val="18"/>
        </w:rPr>
        <w:footnoteRef/>
      </w:r>
      <w:r w:rsidRPr="00094D05">
        <w:rPr>
          <w:szCs w:val="18"/>
        </w:rPr>
        <w:t xml:space="preserve"> Joseph G. Kosciw et al., </w:t>
      </w:r>
      <w:r w:rsidRPr="00094D05">
        <w:rPr>
          <w:i/>
          <w:szCs w:val="18"/>
        </w:rPr>
        <w:t>The 2017 National School Climate Survey: The Experiences of Lesbian, Gay, Bisexual, Transgender, and Queer Youth in Our Nation’s Schools</w:t>
      </w:r>
      <w:r w:rsidRPr="00094D05">
        <w:rPr>
          <w:szCs w:val="18"/>
        </w:rPr>
        <w:t xml:space="preserve">, GLSEN 26 (2018) [hereinafter </w:t>
      </w:r>
      <w:r w:rsidRPr="00094D05">
        <w:rPr>
          <w:i/>
          <w:szCs w:val="18"/>
        </w:rPr>
        <w:t>2017 National School Climate Survey</w:t>
      </w:r>
      <w:r w:rsidRPr="00094D05">
        <w:rPr>
          <w:szCs w:val="18"/>
        </w:rPr>
        <w:t xml:space="preserve">], </w:t>
      </w:r>
      <w:r w:rsidRPr="00094D05">
        <w:rPr>
          <w:i/>
          <w:szCs w:val="18"/>
        </w:rPr>
        <w:t xml:space="preserve">available at </w:t>
      </w:r>
      <w:r w:rsidRPr="00094D05">
        <w:rPr>
          <w:szCs w:val="18"/>
        </w:rPr>
        <w:t>https://www.glsen.org/article/2017-national-school-climate-survey-1.</w:t>
      </w:r>
    </w:p>
  </w:footnote>
  <w:footnote w:id="8">
    <w:p w14:paraId="4B33CAAB" w14:textId="1A545999"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w:t>
      </w:r>
      <w:r w:rsidRPr="00094D05">
        <w:rPr>
          <w:rFonts w:eastAsia="Times New Roman"/>
          <w:i/>
          <w:szCs w:val="18"/>
        </w:rPr>
        <w:t>AAU Campus Climate Survey</w:t>
      </w:r>
      <w:r w:rsidRPr="00094D05">
        <w:rPr>
          <w:rFonts w:eastAsia="Times New Roman"/>
          <w:szCs w:val="18"/>
        </w:rPr>
        <w:t xml:space="preserve">, </w:t>
      </w:r>
      <w:r w:rsidRPr="00094D05">
        <w:rPr>
          <w:rFonts w:eastAsia="Times New Roman"/>
          <w:i/>
          <w:szCs w:val="18"/>
        </w:rPr>
        <w:t xml:space="preserve">supra </w:t>
      </w:r>
      <w:r w:rsidRPr="00094D05">
        <w:rPr>
          <w:rFonts w:eastAsia="Times New Roman"/>
          <w:szCs w:val="18"/>
        </w:rPr>
        <w:t xml:space="preserve">note </w:t>
      </w:r>
      <w:r w:rsidRPr="00094D05">
        <w:rPr>
          <w:rFonts w:eastAsia="Times New Roman"/>
          <w:szCs w:val="18"/>
        </w:rPr>
        <w:fldChar w:fldCharType="begin"/>
      </w:r>
      <w:r w:rsidRPr="00094D05">
        <w:rPr>
          <w:rFonts w:eastAsia="Times New Roman"/>
          <w:szCs w:val="18"/>
        </w:rPr>
        <w:instrText xml:space="preserve"> NOTEREF _Ref532941039 \h  \* MERGEFORMAT </w:instrText>
      </w:r>
      <w:r w:rsidRPr="00094D05">
        <w:rPr>
          <w:rFonts w:eastAsia="Times New Roman"/>
          <w:szCs w:val="18"/>
        </w:rPr>
      </w:r>
      <w:r w:rsidRPr="00094D05">
        <w:rPr>
          <w:rFonts w:eastAsia="Times New Roman"/>
          <w:szCs w:val="18"/>
        </w:rPr>
        <w:fldChar w:fldCharType="separate"/>
      </w:r>
      <w:r w:rsidR="0011560B">
        <w:rPr>
          <w:rFonts w:eastAsia="Times New Roman"/>
          <w:szCs w:val="18"/>
        </w:rPr>
        <w:t>4</w:t>
      </w:r>
      <w:r w:rsidRPr="00094D05">
        <w:rPr>
          <w:rFonts w:eastAsia="Times New Roman"/>
          <w:szCs w:val="18"/>
        </w:rPr>
        <w:fldChar w:fldCharType="end"/>
      </w:r>
      <w:r w:rsidRPr="00094D05">
        <w:rPr>
          <w:rFonts w:eastAsia="Times New Roman"/>
          <w:szCs w:val="18"/>
        </w:rPr>
        <w:t xml:space="preserve"> at 13-14.</w:t>
      </w:r>
    </w:p>
  </w:footnote>
  <w:footnote w:id="9">
    <w:p w14:paraId="1CF2EAA6" w14:textId="77777777"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National Women’s Law Center, </w:t>
      </w:r>
      <w:r w:rsidRPr="00094D05">
        <w:rPr>
          <w:i/>
          <w:iCs/>
          <w:szCs w:val="18"/>
        </w:rPr>
        <w:t>Let Her Learn: Stopping School Pushout for: Girls With Disabilities</w:t>
      </w:r>
      <w:r w:rsidRPr="00094D05">
        <w:rPr>
          <w:szCs w:val="18"/>
        </w:rPr>
        <w:t xml:space="preserve"> 7 (2017) [hereinafter </w:t>
      </w:r>
      <w:r w:rsidRPr="00094D05">
        <w:rPr>
          <w:i/>
          <w:szCs w:val="18"/>
        </w:rPr>
        <w:t>Let Her Learn: Girls with Disabilities</w:t>
      </w:r>
      <w:r w:rsidRPr="00094D05">
        <w:rPr>
          <w:szCs w:val="18"/>
        </w:rPr>
        <w:t xml:space="preserve">], </w:t>
      </w:r>
      <w:r w:rsidRPr="00094D05">
        <w:rPr>
          <w:i/>
          <w:iCs/>
          <w:szCs w:val="18"/>
        </w:rPr>
        <w:t xml:space="preserve">available at </w:t>
      </w:r>
      <w:r w:rsidRPr="00094D05">
        <w:rPr>
          <w:szCs w:val="18"/>
        </w:rPr>
        <w:t>https://nwlc.org/resources/stopping-school-pushout-for-girls-with-disabilities.</w:t>
      </w:r>
    </w:p>
  </w:footnote>
  <w:footnote w:id="10">
    <w:p w14:paraId="2E20A4B1" w14:textId="77777777"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Rochelle Sharpe, </w:t>
      </w:r>
      <w:r w:rsidRPr="00094D05">
        <w:rPr>
          <w:i/>
          <w:iCs/>
          <w:szCs w:val="18"/>
        </w:rPr>
        <w:t>How Much Does Living Off-Campus Cost? Who Knows?</w:t>
      </w:r>
      <w:r w:rsidRPr="00094D05">
        <w:rPr>
          <w:szCs w:val="18"/>
        </w:rPr>
        <w:t xml:space="preserve">, </w:t>
      </w:r>
      <w:r w:rsidRPr="00094D05">
        <w:rPr>
          <w:smallCaps/>
          <w:szCs w:val="18"/>
        </w:rPr>
        <w:t>New York Times (</w:t>
      </w:r>
      <w:r w:rsidRPr="00094D05">
        <w:rPr>
          <w:szCs w:val="18"/>
        </w:rPr>
        <w:t>Aug. 5, 2016</w:t>
      </w:r>
      <w:r w:rsidRPr="00094D05">
        <w:rPr>
          <w:smallCaps/>
          <w:szCs w:val="18"/>
        </w:rPr>
        <w:t>),</w:t>
      </w:r>
      <w:r w:rsidRPr="00094D05">
        <w:rPr>
          <w:szCs w:val="18"/>
        </w:rPr>
        <w:t xml:space="preserve"> https://www.nytimes.com/2016/08/07/education/edlife/how-much-does-living-off-campus-cost-who-knows.html (87%).</w:t>
      </w:r>
    </w:p>
  </w:footnote>
  <w:footnote w:id="11">
    <w:p w14:paraId="355AF198" w14:textId="77777777"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United Educators, </w:t>
      </w:r>
      <w:r w:rsidRPr="00094D05">
        <w:rPr>
          <w:i/>
          <w:iCs/>
          <w:szCs w:val="18"/>
        </w:rPr>
        <w:t>Facts From United Educators' Report - Confronting Campus Sexual Assault: An Examination of Higher Education Claims</w:t>
      </w:r>
      <w:r w:rsidRPr="00094D05">
        <w:rPr>
          <w:szCs w:val="18"/>
        </w:rPr>
        <w:t>, https://www.ue.org/sexual_assault_claims_study.</w:t>
      </w:r>
    </w:p>
  </w:footnote>
  <w:footnote w:id="12">
    <w:p w14:paraId="7CF31F25" w14:textId="77777777"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Jennifer J. Freyd, </w:t>
      </w:r>
      <w:r w:rsidRPr="00094D05">
        <w:rPr>
          <w:i/>
          <w:szCs w:val="18"/>
        </w:rPr>
        <w:t>The UO Sexual Violence and Institutional Betrayal Surveys: 2014, 2015, and 2015-2016</w:t>
      </w:r>
      <w:r w:rsidRPr="00094D05">
        <w:rPr>
          <w:szCs w:val="18"/>
        </w:rPr>
        <w:t xml:space="preserve"> (Oct. 16, 2014),</w:t>
      </w:r>
      <w:r w:rsidRPr="00094D05">
        <w:rPr>
          <w:i/>
          <w:szCs w:val="18"/>
        </w:rPr>
        <w:t xml:space="preserve"> available at</w:t>
      </w:r>
      <w:r w:rsidRPr="00094D05">
        <w:rPr>
          <w:szCs w:val="18"/>
        </w:rPr>
        <w:t xml:space="preserve"> https://www.uwire.com/2014/10/16/sexual-assault-more-prevalent-in-fraternities-and-sororities-study-finds (finding that 48.1% of females and 23.6% of males in Fraternity and Sorority Life have experienced non-consensual sexual contact, compared with 33.1% of females and 7.9% of males not in FSL).</w:t>
      </w:r>
    </w:p>
  </w:footnote>
  <w:footnote w:id="13">
    <w:p w14:paraId="15FEC0DC" w14:textId="77777777"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RAINN, </w:t>
      </w:r>
      <w:r w:rsidRPr="00094D05">
        <w:rPr>
          <w:i/>
          <w:iCs/>
          <w:szCs w:val="18"/>
        </w:rPr>
        <w:t>Scope of the Problem: Statistics</w:t>
      </w:r>
      <w:r w:rsidRPr="00094D05">
        <w:rPr>
          <w:szCs w:val="18"/>
        </w:rPr>
        <w:t>, https://www.rainn.org/statistics/scope-problem.</w:t>
      </w:r>
    </w:p>
  </w:footnote>
  <w:footnote w:id="14">
    <w:p w14:paraId="6939797B" w14:textId="77777777"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w:t>
      </w:r>
      <w:r w:rsidRPr="00094D05">
        <w:rPr>
          <w:i/>
          <w:iCs/>
          <w:szCs w:val="18"/>
        </w:rPr>
        <w:t>Poll: One in 5 women say they have been sexually assaulted in college</w:t>
      </w:r>
      <w:r w:rsidRPr="00094D05">
        <w:rPr>
          <w:szCs w:val="18"/>
        </w:rPr>
        <w:t xml:space="preserve">, </w:t>
      </w:r>
      <w:r w:rsidRPr="00094D05">
        <w:rPr>
          <w:smallCaps/>
          <w:szCs w:val="18"/>
        </w:rPr>
        <w:t>Washington Post</w:t>
      </w:r>
      <w:r w:rsidRPr="00094D05">
        <w:rPr>
          <w:szCs w:val="18"/>
        </w:rPr>
        <w:t xml:space="preserve"> (June 12, 2015), https://www.washingtonpost.com/graphics/local/sexual-assault-poll.</w:t>
      </w:r>
    </w:p>
  </w:footnote>
  <w:footnote w:id="15">
    <w:p w14:paraId="5CF66169" w14:textId="1D8164D5"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w:t>
      </w:r>
      <w:r w:rsidRPr="00094D05">
        <w:rPr>
          <w:i/>
          <w:szCs w:val="18"/>
        </w:rPr>
        <w:t>Let Her Learn: Sexual Harassment and Violence</w:t>
      </w:r>
      <w:r w:rsidRPr="00094D05">
        <w:rPr>
          <w:szCs w:val="18"/>
        </w:rPr>
        <w:t xml:space="preserve">, </w:t>
      </w:r>
      <w:r w:rsidRPr="00094D05">
        <w:rPr>
          <w:i/>
          <w:szCs w:val="18"/>
        </w:rPr>
        <w:t xml:space="preserve">supra </w:t>
      </w:r>
      <w:r w:rsidRPr="00094D05">
        <w:rPr>
          <w:szCs w:val="18"/>
        </w:rPr>
        <w:t xml:space="preserve">note </w:t>
      </w:r>
      <w:r w:rsidRPr="00094D05">
        <w:rPr>
          <w:szCs w:val="18"/>
        </w:rPr>
        <w:fldChar w:fldCharType="begin"/>
      </w:r>
      <w:r w:rsidRPr="00094D05">
        <w:rPr>
          <w:szCs w:val="18"/>
        </w:rPr>
        <w:instrText xml:space="preserve"> NOTEREF _Ref532941243 \h  \* MERGEFORMAT </w:instrText>
      </w:r>
      <w:r w:rsidRPr="00094D05">
        <w:rPr>
          <w:szCs w:val="18"/>
        </w:rPr>
      </w:r>
      <w:r w:rsidRPr="00094D05">
        <w:rPr>
          <w:szCs w:val="18"/>
        </w:rPr>
        <w:fldChar w:fldCharType="separate"/>
      </w:r>
      <w:r w:rsidR="0011560B">
        <w:rPr>
          <w:szCs w:val="18"/>
        </w:rPr>
        <w:t>2</w:t>
      </w:r>
      <w:r w:rsidRPr="00094D05">
        <w:rPr>
          <w:szCs w:val="18"/>
        </w:rPr>
        <w:fldChar w:fldCharType="end"/>
      </w:r>
      <w:r w:rsidRPr="00094D05">
        <w:rPr>
          <w:szCs w:val="18"/>
        </w:rPr>
        <w:t xml:space="preserve"> at 1.</w:t>
      </w:r>
    </w:p>
  </w:footnote>
  <w:footnote w:id="16">
    <w:p w14:paraId="7303F167" w14:textId="77777777"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RAINN, </w:t>
      </w:r>
      <w:r w:rsidRPr="00094D05">
        <w:rPr>
          <w:i/>
          <w:szCs w:val="18"/>
        </w:rPr>
        <w:t>Campus Sexual Violence: Statistics</w:t>
      </w:r>
      <w:r w:rsidRPr="00094D05">
        <w:rPr>
          <w:szCs w:val="18"/>
        </w:rPr>
        <w:t>, https://www.rainn.org/statistics/campus-sexual-violence.</w:t>
      </w:r>
    </w:p>
  </w:footnote>
  <w:footnote w:id="17">
    <w:p w14:paraId="7950EAB6" w14:textId="77777777" w:rsidR="000B2C8D" w:rsidRPr="00094D05" w:rsidRDefault="000B2C8D" w:rsidP="000B2C8D">
      <w:pPr>
        <w:pStyle w:val="FootnoteText"/>
        <w:rPr>
          <w:i/>
          <w:szCs w:val="18"/>
        </w:rPr>
      </w:pPr>
      <w:r w:rsidRPr="00094D05">
        <w:rPr>
          <w:rStyle w:val="FootnoteReference"/>
          <w:szCs w:val="18"/>
        </w:rPr>
        <w:footnoteRef/>
      </w:r>
      <w:r w:rsidRPr="00094D05">
        <w:rPr>
          <w:szCs w:val="18"/>
        </w:rPr>
        <w:t xml:space="preserve"> </w:t>
      </w:r>
      <w:r w:rsidRPr="00094D05">
        <w:rPr>
          <w:i/>
          <w:iCs/>
          <w:szCs w:val="18"/>
        </w:rPr>
        <w:t xml:space="preserve">See </w:t>
      </w:r>
      <w:r w:rsidRPr="00094D05">
        <w:rPr>
          <w:szCs w:val="18"/>
        </w:rPr>
        <w:t xml:space="preserve">Jennifer Medina, </w:t>
      </w:r>
      <w:r w:rsidRPr="00094D05">
        <w:rPr>
          <w:i/>
          <w:iCs/>
          <w:szCs w:val="18"/>
        </w:rPr>
        <w:t>Too Scared to Report Sexual Abuse. The Fear: Deportation</w:t>
      </w:r>
      <w:r w:rsidRPr="00094D05">
        <w:rPr>
          <w:szCs w:val="18"/>
        </w:rPr>
        <w:t xml:space="preserve">, </w:t>
      </w:r>
      <w:r w:rsidRPr="00094D05">
        <w:rPr>
          <w:smallCaps/>
          <w:szCs w:val="18"/>
        </w:rPr>
        <w:t>NY Times</w:t>
      </w:r>
      <w:r w:rsidRPr="00094D05">
        <w:rPr>
          <w:szCs w:val="18"/>
        </w:rPr>
        <w:t xml:space="preserve"> (April 30, 2017), https://www.nytimes.com/2017/04/30/us/immigrants-deportation-sexual-abuse.html?mcubz=3.</w:t>
      </w:r>
    </w:p>
  </w:footnote>
  <w:footnote w:id="18">
    <w:p w14:paraId="30493058" w14:textId="77777777"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National Center for Transgender Equality,</w:t>
      </w:r>
      <w:r w:rsidRPr="00094D05">
        <w:rPr>
          <w:i/>
          <w:iCs/>
          <w:szCs w:val="18"/>
        </w:rPr>
        <w:t xml:space="preserve"> The Report of the 2015 U.S. Transgender Survey: Executive Summary</w:t>
      </w:r>
      <w:r w:rsidRPr="00094D05">
        <w:rPr>
          <w:szCs w:val="18"/>
        </w:rPr>
        <w:t xml:space="preserve"> 12 (Dec. 2016) [hereinafter </w:t>
      </w:r>
      <w:r w:rsidRPr="00094D05">
        <w:rPr>
          <w:i/>
          <w:szCs w:val="18"/>
        </w:rPr>
        <w:t>2015 U.S. Transgender Survey</w:t>
      </w:r>
      <w:r w:rsidRPr="00094D05">
        <w:rPr>
          <w:szCs w:val="18"/>
        </w:rPr>
        <w:t xml:space="preserve">], </w:t>
      </w:r>
      <w:r w:rsidRPr="00094D05">
        <w:rPr>
          <w:i/>
          <w:iCs/>
          <w:szCs w:val="18"/>
        </w:rPr>
        <w:t xml:space="preserve">available at </w:t>
      </w:r>
      <w:r w:rsidRPr="00094D05">
        <w:rPr>
          <w:szCs w:val="18"/>
        </w:rPr>
        <w:t>https://transequality.org/sites/default/files/docs/usts/USTS-Executive-Summary-Dec17.pdf.</w:t>
      </w:r>
    </w:p>
  </w:footnote>
  <w:footnote w:id="19">
    <w:p w14:paraId="02D06CED" w14:textId="77777777"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w:t>
      </w:r>
      <w:r w:rsidRPr="00094D05">
        <w:rPr>
          <w:i/>
          <w:szCs w:val="18"/>
        </w:rPr>
        <w:t>E.g.</w:t>
      </w:r>
      <w:r w:rsidRPr="00094D05">
        <w:rPr>
          <w:szCs w:val="18"/>
        </w:rPr>
        <w:t xml:space="preserve">, Audrey Chu, </w:t>
      </w:r>
      <w:r w:rsidRPr="00094D05">
        <w:rPr>
          <w:i/>
          <w:szCs w:val="18"/>
        </w:rPr>
        <w:t>I Dropped Out of College Because I Couldn’t Bear to See My Rapist on Campus</w:t>
      </w:r>
      <w:r w:rsidRPr="00094D05">
        <w:rPr>
          <w:szCs w:val="18"/>
        </w:rPr>
        <w:t xml:space="preserve">, </w:t>
      </w:r>
      <w:r w:rsidRPr="00094D05">
        <w:rPr>
          <w:smallCaps/>
          <w:szCs w:val="18"/>
        </w:rPr>
        <w:t>Vice</w:t>
      </w:r>
      <w:r w:rsidRPr="00094D05">
        <w:rPr>
          <w:szCs w:val="18"/>
        </w:rPr>
        <w:t xml:space="preserve"> (Sept. 26, 2017), https://broadly.vice.com/en_us/article/qvjzpd/i-dropped-out-of-college-because-i-couldnt-bear-to-see-my-rapist-on-campus.</w:t>
      </w:r>
    </w:p>
  </w:footnote>
  <w:footnote w:id="20">
    <w:p w14:paraId="10EF621E" w14:textId="77777777" w:rsidR="000B2C8D" w:rsidRPr="00094D05" w:rsidRDefault="000B2C8D" w:rsidP="000B2C8D">
      <w:pPr>
        <w:pStyle w:val="FootnoteText"/>
        <w:adjustRightInd w:val="0"/>
        <w:snapToGrid w:val="0"/>
        <w:contextualSpacing/>
        <w:rPr>
          <w:szCs w:val="18"/>
        </w:rPr>
      </w:pPr>
      <w:r w:rsidRPr="00094D05">
        <w:rPr>
          <w:rStyle w:val="FootnoteReference"/>
          <w:szCs w:val="18"/>
        </w:rPr>
        <w:footnoteRef/>
      </w:r>
      <w:r w:rsidRPr="00094D05">
        <w:rPr>
          <w:szCs w:val="18"/>
        </w:rPr>
        <w:t xml:space="preserve"> </w:t>
      </w:r>
      <w:r w:rsidRPr="00094D05">
        <w:rPr>
          <w:i/>
          <w:szCs w:val="18"/>
        </w:rPr>
        <w:t>E.g.</w:t>
      </w:r>
      <w:r w:rsidRPr="00094D05">
        <w:rPr>
          <w:szCs w:val="18"/>
        </w:rPr>
        <w:t xml:space="preserve">, Alexandra Brodsky, </w:t>
      </w:r>
      <w:r w:rsidRPr="00094D05">
        <w:rPr>
          <w:i/>
          <w:szCs w:val="18"/>
        </w:rPr>
        <w:t>How much does sexual assault cost college students every year?</w:t>
      </w:r>
      <w:r w:rsidRPr="00094D05">
        <w:rPr>
          <w:szCs w:val="18"/>
        </w:rPr>
        <w:t xml:space="preserve">, </w:t>
      </w:r>
      <w:r w:rsidRPr="00094D05">
        <w:rPr>
          <w:smallCaps/>
          <w:szCs w:val="18"/>
        </w:rPr>
        <w:t>Washington Post</w:t>
      </w:r>
      <w:r w:rsidRPr="00094D05">
        <w:rPr>
          <w:szCs w:val="18"/>
        </w:rPr>
        <w:t xml:space="preserve"> (Nov. 18, 2014), https://www.washingtonpost.com/posteverything/wp/2014/11/18/how-much-does-sexual-assault-cost-students-every-year.</w:t>
      </w:r>
    </w:p>
  </w:footnote>
  <w:footnote w:id="21">
    <w:p w14:paraId="4A93DE36" w14:textId="77777777" w:rsidR="000B2C8D" w:rsidRPr="00094D05" w:rsidRDefault="000B2C8D" w:rsidP="000B2C8D">
      <w:pPr>
        <w:pStyle w:val="FootnoteText"/>
        <w:adjustRightInd w:val="0"/>
        <w:snapToGrid w:val="0"/>
        <w:contextualSpacing/>
        <w:rPr>
          <w:szCs w:val="18"/>
        </w:rPr>
      </w:pPr>
      <w:r w:rsidRPr="00094D05">
        <w:rPr>
          <w:rStyle w:val="FootnoteReference"/>
          <w:szCs w:val="18"/>
        </w:rPr>
        <w:footnoteRef/>
      </w:r>
      <w:r w:rsidRPr="00094D05">
        <w:rPr>
          <w:szCs w:val="18"/>
        </w:rPr>
        <w:t xml:space="preserve"> Cecilia Mengo &amp; Beverly M. Black, </w:t>
      </w:r>
      <w:r w:rsidRPr="00094D05">
        <w:rPr>
          <w:i/>
          <w:szCs w:val="18"/>
        </w:rPr>
        <w:t>Violence Victimization on a College Campus: Impact on GPA and School Dropout</w:t>
      </w:r>
      <w:r w:rsidRPr="00094D05">
        <w:rPr>
          <w:szCs w:val="18"/>
        </w:rPr>
        <w:t xml:space="preserve">, 18(2) </w:t>
      </w:r>
      <w:r w:rsidRPr="00094D05">
        <w:rPr>
          <w:smallCaps/>
          <w:szCs w:val="18"/>
        </w:rPr>
        <w:t>J.C. Student Retention: Res., Theory &amp; Prac</w:t>
      </w:r>
      <w:r w:rsidRPr="00094D05">
        <w:rPr>
          <w:szCs w:val="18"/>
        </w:rPr>
        <w:t xml:space="preserve">. 234, 244 (2015), </w:t>
      </w:r>
      <w:r w:rsidRPr="00094D05">
        <w:rPr>
          <w:i/>
          <w:szCs w:val="18"/>
        </w:rPr>
        <w:t xml:space="preserve">available at </w:t>
      </w:r>
      <w:r w:rsidRPr="00094D05">
        <w:rPr>
          <w:szCs w:val="18"/>
        </w:rPr>
        <w:t>https://doi.org/10.1177/1521025115584750.</w:t>
      </w:r>
    </w:p>
  </w:footnote>
  <w:footnote w:id="22">
    <w:p w14:paraId="25C088C6" w14:textId="77777777" w:rsidR="000B2C8D" w:rsidRPr="00094D05" w:rsidRDefault="000B2C8D" w:rsidP="000B2C8D">
      <w:pPr>
        <w:pStyle w:val="FootnoteText"/>
        <w:adjustRightInd w:val="0"/>
        <w:snapToGrid w:val="0"/>
        <w:contextualSpacing/>
        <w:rPr>
          <w:szCs w:val="18"/>
        </w:rPr>
      </w:pPr>
      <w:r w:rsidRPr="00094D05">
        <w:rPr>
          <w:rStyle w:val="FootnoteReference"/>
          <w:szCs w:val="18"/>
        </w:rPr>
        <w:footnoteRef/>
      </w:r>
      <w:r w:rsidRPr="00094D05">
        <w:rPr>
          <w:szCs w:val="18"/>
        </w:rPr>
        <w:t xml:space="preserve"> These standards have been reaffirmed time and time again, in 2006 by the Bush Administration, in 2010, 2011, and 2014 in guidance documents issued by the Obama Administration, and even in the 2017 guidance document issued by the current Administration. U.S. Dep’t of Educ. Office for Civil Rights, </w:t>
      </w:r>
      <w:r w:rsidRPr="00094D05">
        <w:rPr>
          <w:i/>
          <w:szCs w:val="18"/>
        </w:rPr>
        <w:t>Dear Colleague Letter: Sexual Harassment</w:t>
      </w:r>
      <w:r w:rsidRPr="00094D05">
        <w:rPr>
          <w:szCs w:val="18"/>
        </w:rPr>
        <w:t xml:space="preserve"> (Jan. 25, 2006) [hereinafter 2006 Guidance], </w:t>
      </w:r>
      <w:r w:rsidRPr="00094D05">
        <w:rPr>
          <w:i/>
          <w:iCs/>
          <w:szCs w:val="18"/>
        </w:rPr>
        <w:t>available at</w:t>
      </w:r>
      <w:r w:rsidRPr="00094D05">
        <w:rPr>
          <w:szCs w:val="18"/>
        </w:rPr>
        <w:t xml:space="preserve"> </w:t>
      </w:r>
      <w:r w:rsidRPr="00094D05">
        <w:rPr>
          <w:rStyle w:val="Hyperlink"/>
          <w:szCs w:val="18"/>
        </w:rPr>
        <w:t>https://www2.ed.gov/about/offices/list/ocr/letters/sexhar-2006.html</w:t>
      </w:r>
      <w:r w:rsidRPr="00094D05">
        <w:rPr>
          <w:szCs w:val="18"/>
        </w:rPr>
        <w:t xml:space="preserve">; U.S. Dep’t of Educ. Office for Civil Rights, </w:t>
      </w:r>
      <w:r w:rsidRPr="00094D05">
        <w:rPr>
          <w:i/>
          <w:szCs w:val="18"/>
        </w:rPr>
        <w:t>Dear Colleague Letter: Harassment and Bullying</w:t>
      </w:r>
      <w:r w:rsidRPr="00094D05">
        <w:rPr>
          <w:szCs w:val="18"/>
        </w:rPr>
        <w:t xml:space="preserve"> (Oct. 26, 2010) [hereinafter 2010 Guidance], </w:t>
      </w:r>
      <w:r w:rsidRPr="00094D05">
        <w:rPr>
          <w:i/>
          <w:szCs w:val="18"/>
        </w:rPr>
        <w:t>available at</w:t>
      </w:r>
      <w:r w:rsidRPr="00094D05">
        <w:rPr>
          <w:szCs w:val="18"/>
        </w:rPr>
        <w:t xml:space="preserve"> </w:t>
      </w:r>
      <w:r w:rsidRPr="00094D05">
        <w:rPr>
          <w:rStyle w:val="Hyperlink"/>
          <w:szCs w:val="18"/>
        </w:rPr>
        <w:t>https://ww2ed.gov/about/offices/ list/ocr/letters/colleague-201104.pdf</w:t>
      </w:r>
      <w:r w:rsidRPr="00094D05">
        <w:rPr>
          <w:szCs w:val="18"/>
        </w:rPr>
        <w:t xml:space="preserve">; U.S. Dep’t of Educ. Office of Civil Rights, </w:t>
      </w:r>
      <w:r w:rsidRPr="00094D05">
        <w:rPr>
          <w:i/>
          <w:szCs w:val="18"/>
        </w:rPr>
        <w:t>Dear Colleague Letter: Sexual Violence</w:t>
      </w:r>
      <w:r w:rsidRPr="00094D05">
        <w:rPr>
          <w:szCs w:val="18"/>
        </w:rPr>
        <w:t xml:space="preserve"> at 4, 6, 9, &amp;16 (Apr. 4, 2011) [hereinafter 2011 Guidance], </w:t>
      </w:r>
      <w:r w:rsidRPr="00094D05">
        <w:rPr>
          <w:i/>
          <w:szCs w:val="18"/>
        </w:rPr>
        <w:t>available at</w:t>
      </w:r>
      <w:r w:rsidRPr="00094D05">
        <w:rPr>
          <w:szCs w:val="18"/>
        </w:rPr>
        <w:t xml:space="preserve"> </w:t>
      </w:r>
      <w:r w:rsidRPr="00094D05">
        <w:rPr>
          <w:rStyle w:val="Hyperlink"/>
          <w:szCs w:val="18"/>
        </w:rPr>
        <w:t>https://ww2ed.gov/about/offices/list/ocr/letters/colleague-201104.pdf</w:t>
      </w:r>
      <w:r w:rsidRPr="00094D05">
        <w:rPr>
          <w:szCs w:val="18"/>
        </w:rPr>
        <w:t xml:space="preserve">; U.S. Dep’t of Educ. Office for Civil Rights, </w:t>
      </w:r>
      <w:r w:rsidRPr="00094D05">
        <w:rPr>
          <w:i/>
          <w:szCs w:val="18"/>
        </w:rPr>
        <w:t>Questions and Answers on Title IX and Sexual Violence</w:t>
      </w:r>
      <w:r w:rsidRPr="00094D05">
        <w:rPr>
          <w:szCs w:val="18"/>
        </w:rPr>
        <w:t xml:space="preserve"> 1-2 (Apr. 29, 2014) [hereinafter 2014 Guidance], </w:t>
      </w:r>
      <w:r w:rsidRPr="00094D05">
        <w:rPr>
          <w:i/>
          <w:szCs w:val="18"/>
        </w:rPr>
        <w:t xml:space="preserve">available at </w:t>
      </w:r>
      <w:r w:rsidRPr="00094D05">
        <w:rPr>
          <w:szCs w:val="18"/>
        </w:rPr>
        <w:t xml:space="preserve">https://www2.ed.gov/about/offices/list/ocr/docs/qa-201404-title-ix.pdf; U.S. Dep’t of Educ. </w:t>
      </w:r>
      <w:r w:rsidRPr="00094D05">
        <w:rPr>
          <w:i/>
          <w:szCs w:val="18"/>
        </w:rPr>
        <w:t>Office for Civil Rights, Questions and Answers on Campus Sexual Misconduct</w:t>
      </w:r>
      <w:r w:rsidRPr="00094D05">
        <w:rPr>
          <w:szCs w:val="18"/>
        </w:rPr>
        <w:t xml:space="preserve"> (Sept. 2017) [hereinafter 2017 Guidance], </w:t>
      </w:r>
      <w:r w:rsidRPr="00094D05">
        <w:rPr>
          <w:i/>
          <w:szCs w:val="18"/>
        </w:rPr>
        <w:t xml:space="preserve">available at </w:t>
      </w:r>
      <w:r w:rsidRPr="00094D05">
        <w:rPr>
          <w:szCs w:val="18"/>
        </w:rPr>
        <w:t>https://www2.ed.gov/about/offices/list/ocr/docs/qa-title-ix-201709.pdf.</w:t>
      </w:r>
    </w:p>
  </w:footnote>
  <w:footnote w:id="23">
    <w:p w14:paraId="664BCE86" w14:textId="77777777"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U.S. Department of Educ., Office for Civil Rights</w:t>
      </w:r>
      <w:r w:rsidRPr="00094D05">
        <w:rPr>
          <w:i/>
          <w:szCs w:val="18"/>
        </w:rPr>
        <w:t>, Revised Sexual Harassment Guidance: Harassment of Students by School Employees, Other Students, or Third Parties</w:t>
      </w:r>
      <w:r w:rsidRPr="00094D05">
        <w:rPr>
          <w:szCs w:val="18"/>
        </w:rPr>
        <w:t xml:space="preserve"> (2001) [hereinafter 2001 Guidance], </w:t>
      </w:r>
      <w:r w:rsidRPr="00094D05">
        <w:rPr>
          <w:i/>
          <w:iCs/>
          <w:szCs w:val="18"/>
        </w:rPr>
        <w:t xml:space="preserve">available at </w:t>
      </w:r>
      <w:r w:rsidRPr="00094D05">
        <w:rPr>
          <w:szCs w:val="18"/>
        </w:rPr>
        <w:t>https://www2.ed.gov/about/offices/list/ocr/docs/shguide.html.</w:t>
      </w:r>
    </w:p>
  </w:footnote>
  <w:footnote w:id="24">
    <w:p w14:paraId="053EC62C" w14:textId="77777777"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w:t>
      </w:r>
      <w:r w:rsidRPr="00094D05">
        <w:rPr>
          <w:i/>
          <w:szCs w:val="18"/>
        </w:rPr>
        <w:t>Id.</w:t>
      </w:r>
    </w:p>
  </w:footnote>
  <w:footnote w:id="25">
    <w:p w14:paraId="54453124" w14:textId="77777777"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w:t>
      </w:r>
      <w:r w:rsidRPr="00094D05">
        <w:rPr>
          <w:i/>
          <w:szCs w:val="18"/>
        </w:rPr>
        <w:t>Gebser v. Lago Vista Independent School Dist.</w:t>
      </w:r>
      <w:r w:rsidRPr="00094D05">
        <w:rPr>
          <w:szCs w:val="18"/>
        </w:rPr>
        <w:t xml:space="preserve">, 524 U.S. 274, 290 (1998) (detailing standard for employee-on-student harassment); </w:t>
      </w:r>
      <w:r w:rsidRPr="00094D05">
        <w:rPr>
          <w:i/>
          <w:szCs w:val="18"/>
        </w:rPr>
        <w:t>Davis v. Monroe Cty. Bd. of Educ.</w:t>
      </w:r>
      <w:r w:rsidRPr="00094D05">
        <w:rPr>
          <w:szCs w:val="18"/>
        </w:rPr>
        <w:t xml:space="preserve">, 526 U.S. 629, 650 (1999) (detailing standard for student-on-student harassment). </w:t>
      </w:r>
    </w:p>
  </w:footnote>
  <w:footnote w:id="26">
    <w:p w14:paraId="7D7B23E4" w14:textId="77777777"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w:t>
      </w:r>
      <w:r w:rsidRPr="00094D05">
        <w:rPr>
          <w:i/>
          <w:szCs w:val="18"/>
        </w:rPr>
        <w:t>Gebser</w:t>
      </w:r>
      <w:r w:rsidRPr="00094D05">
        <w:rPr>
          <w:szCs w:val="18"/>
        </w:rPr>
        <w:t xml:space="preserve">, 524 U.S. at 291-92 (citing 20 U.S.C. </w:t>
      </w:r>
      <w:r w:rsidRPr="00094D05">
        <w:rPr>
          <w:color w:val="000000"/>
          <w:szCs w:val="18"/>
        </w:rPr>
        <w:t>§ 1682)</w:t>
      </w:r>
      <w:r w:rsidRPr="00094D05">
        <w:rPr>
          <w:szCs w:val="18"/>
        </w:rPr>
        <w:t xml:space="preserve">. </w:t>
      </w:r>
    </w:p>
  </w:footnote>
  <w:footnote w:id="27">
    <w:p w14:paraId="781CDEA8" w14:textId="77777777"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w:t>
      </w:r>
      <w:r w:rsidRPr="00094D05">
        <w:rPr>
          <w:i/>
          <w:szCs w:val="18"/>
        </w:rPr>
        <w:t>Davis</w:t>
      </w:r>
      <w:r w:rsidRPr="00094D05">
        <w:rPr>
          <w:szCs w:val="18"/>
        </w:rPr>
        <w:t>, 526 U.S. at 639.</w:t>
      </w:r>
    </w:p>
  </w:footnote>
  <w:footnote w:id="28">
    <w:p w14:paraId="0696C48D" w14:textId="77777777"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83 Fed. Reg. 61468, 61469.</w:t>
      </w:r>
    </w:p>
  </w:footnote>
  <w:footnote w:id="29">
    <w:p w14:paraId="60FF0FE4" w14:textId="77777777"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w:t>
      </w:r>
      <w:r w:rsidRPr="00094D05">
        <w:rPr>
          <w:i/>
          <w:iCs/>
          <w:szCs w:val="18"/>
        </w:rPr>
        <w:t>Meritor Savings Bank v. Vinson</w:t>
      </w:r>
      <w:r w:rsidRPr="00094D05">
        <w:rPr>
          <w:szCs w:val="18"/>
        </w:rPr>
        <w:t xml:space="preserve">, 477 US 57, 476, 477 (1986) (internal quotations and brackets omitted); Equal Employment Opportunity Commission, </w:t>
      </w:r>
      <w:r w:rsidRPr="00094D05">
        <w:rPr>
          <w:i/>
          <w:iCs/>
          <w:szCs w:val="18"/>
        </w:rPr>
        <w:t>Enforcement Guidance: Vicarious Employer Liability for Unlawful Harassment by Supervisors</w:t>
      </w:r>
      <w:r w:rsidRPr="00094D05">
        <w:rPr>
          <w:szCs w:val="18"/>
        </w:rPr>
        <w:t xml:space="preserve"> (June 18, 1999) [</w:t>
      </w:r>
      <w:r w:rsidRPr="00094D05">
        <w:rPr>
          <w:i/>
          <w:iCs/>
          <w:szCs w:val="18"/>
        </w:rPr>
        <w:t xml:space="preserve">hereinafter </w:t>
      </w:r>
      <w:r w:rsidRPr="00094D05">
        <w:rPr>
          <w:szCs w:val="18"/>
        </w:rPr>
        <w:t xml:space="preserve">EEOC Guidance] (An employer is automatically liable for harassment by “a supervisor with immediate (or successively higher) authority over the employee.”), </w:t>
      </w:r>
      <w:r w:rsidRPr="00094D05">
        <w:rPr>
          <w:i/>
          <w:iCs/>
          <w:szCs w:val="18"/>
        </w:rPr>
        <w:t xml:space="preserve">available at </w:t>
      </w:r>
      <w:r w:rsidRPr="00094D05">
        <w:rPr>
          <w:szCs w:val="18"/>
        </w:rPr>
        <w:t xml:space="preserve">https://www.eeoc.gov/policy/docs/harassment.html. </w:t>
      </w:r>
    </w:p>
  </w:footnote>
  <w:footnote w:id="30">
    <w:p w14:paraId="34118049" w14:textId="77777777"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w:t>
      </w:r>
      <w:r w:rsidRPr="00094D05">
        <w:rPr>
          <w:i/>
          <w:iCs/>
          <w:szCs w:val="18"/>
        </w:rPr>
        <w:t xml:space="preserve">Meritor, </w:t>
      </w:r>
      <w:r w:rsidRPr="00094D05">
        <w:rPr>
          <w:szCs w:val="18"/>
        </w:rPr>
        <w:t xml:space="preserve">477 US at 476, 477 (citing </w:t>
      </w:r>
      <w:r w:rsidRPr="00094D05">
        <w:rPr>
          <w:rStyle w:val="Emphasis"/>
          <w:color w:val="000000"/>
          <w:szCs w:val="18"/>
          <w:shd w:val="clear" w:color="auto" w:fill="FFFFFF"/>
        </w:rPr>
        <w:t>Burlington Industries, Inc. v. Ellerth</w:t>
      </w:r>
      <w:r w:rsidRPr="00094D05">
        <w:rPr>
          <w:color w:val="000000"/>
          <w:szCs w:val="18"/>
          <w:shd w:val="clear" w:color="auto" w:fill="FFFFFF"/>
        </w:rPr>
        <w:t>, 118 S. Ct. 2257, 2270 (1998); </w:t>
      </w:r>
      <w:r w:rsidRPr="00094D05">
        <w:rPr>
          <w:rStyle w:val="Emphasis"/>
          <w:color w:val="000000"/>
          <w:szCs w:val="18"/>
          <w:shd w:val="clear" w:color="auto" w:fill="FFFFFF"/>
        </w:rPr>
        <w:t>Faragher v. City of Boca Raton</w:t>
      </w:r>
      <w:r w:rsidRPr="00094D05">
        <w:rPr>
          <w:color w:val="000000"/>
          <w:szCs w:val="18"/>
          <w:shd w:val="clear" w:color="auto" w:fill="FFFFFF"/>
        </w:rPr>
        <w:t>, 118 S. Ct. 2275, 2293 (1998)).</w:t>
      </w:r>
    </w:p>
  </w:footnote>
  <w:footnote w:id="31">
    <w:p w14:paraId="1E733DEC" w14:textId="6C363432"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2001 Guidance, </w:t>
      </w:r>
      <w:r w:rsidRPr="00094D05">
        <w:rPr>
          <w:i/>
          <w:szCs w:val="18"/>
        </w:rPr>
        <w:t>supra</w:t>
      </w:r>
      <w:r w:rsidRPr="00094D05">
        <w:rPr>
          <w:szCs w:val="18"/>
        </w:rPr>
        <w:t xml:space="preserve"> note </w:t>
      </w:r>
      <w:r w:rsidRPr="00094D05">
        <w:rPr>
          <w:szCs w:val="18"/>
        </w:rPr>
        <w:fldChar w:fldCharType="begin"/>
      </w:r>
      <w:r w:rsidRPr="00094D05">
        <w:rPr>
          <w:szCs w:val="18"/>
        </w:rPr>
        <w:instrText xml:space="preserve"> NOTEREF _Ref532941901 \h  \* MERGEFORMAT </w:instrText>
      </w:r>
      <w:r w:rsidRPr="00094D05">
        <w:rPr>
          <w:szCs w:val="18"/>
        </w:rPr>
      </w:r>
      <w:r w:rsidRPr="00094D05">
        <w:rPr>
          <w:szCs w:val="18"/>
        </w:rPr>
        <w:fldChar w:fldCharType="separate"/>
      </w:r>
      <w:r w:rsidR="0011560B">
        <w:rPr>
          <w:szCs w:val="18"/>
        </w:rPr>
        <w:t>23</w:t>
      </w:r>
      <w:r w:rsidRPr="00094D05">
        <w:rPr>
          <w:szCs w:val="18"/>
        </w:rPr>
        <w:fldChar w:fldCharType="end"/>
      </w:r>
      <w:r w:rsidRPr="00094D05">
        <w:rPr>
          <w:szCs w:val="18"/>
        </w:rPr>
        <w:t>.</w:t>
      </w:r>
      <w:r w:rsidRPr="00094D05" w:rsidDel="00ED7D08">
        <w:rPr>
          <w:i/>
          <w:iCs/>
          <w:szCs w:val="18"/>
        </w:rPr>
        <w:t xml:space="preserve"> </w:t>
      </w:r>
      <w:r w:rsidRPr="00094D05">
        <w:rPr>
          <w:szCs w:val="18"/>
        </w:rPr>
        <w:t>(“if an employee who is acting (or who reasonably appears to be acting) in the context of carrying out these responsibilities over students engages in sexual harassment – generally this means harassment that is carried out during an employee’s performance of his or her responsibilities in relation to students, including teaching, counseling, supervising, advising, and transporting students – and the harassment denies or limits a student’s ability to participate in or benefit from a school program on the basis of sex, the recipient is responsible for the discriminatory conduct”).</w:t>
      </w:r>
    </w:p>
  </w:footnote>
  <w:footnote w:id="32">
    <w:p w14:paraId="461B5290" w14:textId="77777777"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Proposed rule § 106.30. </w:t>
      </w:r>
    </w:p>
  </w:footnote>
  <w:footnote w:id="33">
    <w:p w14:paraId="213B3143" w14:textId="40FD3B73"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This duty applies to “any employee who has the authority to take action to redress the harassment, who has the duty to report to appropriate school officials sexual harassment or any other misconduct by students or employees, or an individual who a student could reasonably believe has this authority or responsibility.” 2001 Guidance, </w:t>
      </w:r>
      <w:r w:rsidRPr="00094D05">
        <w:rPr>
          <w:i/>
          <w:szCs w:val="18"/>
        </w:rPr>
        <w:t>supra</w:t>
      </w:r>
      <w:r w:rsidRPr="00094D05">
        <w:rPr>
          <w:szCs w:val="18"/>
        </w:rPr>
        <w:t xml:space="preserve"> note </w:t>
      </w:r>
      <w:r w:rsidRPr="00094D05">
        <w:rPr>
          <w:szCs w:val="18"/>
        </w:rPr>
        <w:fldChar w:fldCharType="begin"/>
      </w:r>
      <w:r w:rsidRPr="00094D05">
        <w:rPr>
          <w:szCs w:val="18"/>
        </w:rPr>
        <w:instrText xml:space="preserve"> NOTEREF _Ref532941901 \h  \* MERGEFORMAT </w:instrText>
      </w:r>
      <w:r w:rsidRPr="00094D05">
        <w:rPr>
          <w:szCs w:val="18"/>
        </w:rPr>
      </w:r>
      <w:r w:rsidRPr="00094D05">
        <w:rPr>
          <w:szCs w:val="18"/>
        </w:rPr>
        <w:fldChar w:fldCharType="separate"/>
      </w:r>
      <w:r w:rsidR="0011560B">
        <w:rPr>
          <w:szCs w:val="18"/>
        </w:rPr>
        <w:t>23</w:t>
      </w:r>
      <w:r w:rsidRPr="00094D05">
        <w:rPr>
          <w:szCs w:val="18"/>
        </w:rPr>
        <w:fldChar w:fldCharType="end"/>
      </w:r>
      <w:r w:rsidRPr="00094D05">
        <w:rPr>
          <w:szCs w:val="18"/>
        </w:rPr>
        <w:t xml:space="preserve"> at 13.</w:t>
      </w:r>
    </w:p>
  </w:footnote>
  <w:footnote w:id="34">
    <w:p w14:paraId="76DD8DBC" w14:textId="77777777"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w:t>
      </w:r>
      <w:r w:rsidRPr="00094D05">
        <w:rPr>
          <w:i/>
          <w:szCs w:val="18"/>
        </w:rPr>
        <w:t xml:space="preserve">Id </w:t>
      </w:r>
      <w:r w:rsidRPr="00094D05">
        <w:rPr>
          <w:szCs w:val="18"/>
        </w:rPr>
        <w:t>at 14.</w:t>
      </w:r>
    </w:p>
  </w:footnote>
  <w:footnote w:id="35">
    <w:p w14:paraId="2C93608E" w14:textId="77777777"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w:t>
      </w:r>
      <w:r w:rsidRPr="00094D05">
        <w:rPr>
          <w:i/>
          <w:iCs/>
          <w:szCs w:val="18"/>
        </w:rPr>
        <w:t>Id.</w:t>
      </w:r>
      <w:r w:rsidRPr="00094D05">
        <w:rPr>
          <w:szCs w:val="18"/>
        </w:rPr>
        <w:t xml:space="preserve"> at 10.</w:t>
      </w:r>
    </w:p>
  </w:footnote>
  <w:footnote w:id="36">
    <w:p w14:paraId="2CEBF9C9" w14:textId="77777777"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w:t>
      </w:r>
      <w:r w:rsidRPr="00094D05">
        <w:rPr>
          <w:i/>
          <w:iCs/>
          <w:szCs w:val="18"/>
        </w:rPr>
        <w:t xml:space="preserve">See </w:t>
      </w:r>
      <w:r w:rsidRPr="00094D05">
        <w:rPr>
          <w:szCs w:val="18"/>
        </w:rPr>
        <w:t xml:space="preserve">proposed rule § 106.30 (83 Fed. Reg. 61496) (for K-12, limiting notice to “a teacher in the elementary and secondary context with regard to student-on-student harassment). </w:t>
      </w:r>
    </w:p>
  </w:footnote>
  <w:footnote w:id="37">
    <w:p w14:paraId="73DA5175" w14:textId="77777777"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w:t>
      </w:r>
      <w:r w:rsidRPr="00094D05">
        <w:rPr>
          <w:i/>
          <w:iCs/>
          <w:szCs w:val="18"/>
        </w:rPr>
        <w:t>See id.</w:t>
      </w:r>
    </w:p>
  </w:footnote>
  <w:footnote w:id="38">
    <w:p w14:paraId="1973F39C" w14:textId="77777777"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Proposed rule § 106.30. </w:t>
      </w:r>
    </w:p>
  </w:footnote>
  <w:footnote w:id="39">
    <w:p w14:paraId="10557620" w14:textId="69C99324"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2001 Guidance, </w:t>
      </w:r>
      <w:r w:rsidRPr="00094D05">
        <w:rPr>
          <w:i/>
          <w:szCs w:val="18"/>
        </w:rPr>
        <w:t>supra</w:t>
      </w:r>
      <w:r w:rsidRPr="00094D05">
        <w:rPr>
          <w:szCs w:val="18"/>
        </w:rPr>
        <w:t xml:space="preserve"> note </w:t>
      </w:r>
      <w:r w:rsidRPr="00094D05">
        <w:rPr>
          <w:szCs w:val="18"/>
        </w:rPr>
        <w:fldChar w:fldCharType="begin"/>
      </w:r>
      <w:r w:rsidRPr="00094D05">
        <w:rPr>
          <w:szCs w:val="18"/>
        </w:rPr>
        <w:instrText xml:space="preserve"> NOTEREF _Ref532941901 \h  \* MERGEFORMAT </w:instrText>
      </w:r>
      <w:r w:rsidRPr="00094D05">
        <w:rPr>
          <w:szCs w:val="18"/>
        </w:rPr>
      </w:r>
      <w:r w:rsidRPr="00094D05">
        <w:rPr>
          <w:szCs w:val="18"/>
        </w:rPr>
        <w:fldChar w:fldCharType="separate"/>
      </w:r>
      <w:r w:rsidR="0011560B">
        <w:rPr>
          <w:szCs w:val="18"/>
        </w:rPr>
        <w:t>23</w:t>
      </w:r>
      <w:r w:rsidRPr="00094D05">
        <w:rPr>
          <w:szCs w:val="18"/>
        </w:rPr>
        <w:fldChar w:fldCharType="end"/>
      </w:r>
      <w:r w:rsidRPr="00094D05">
        <w:rPr>
          <w:szCs w:val="18"/>
        </w:rPr>
        <w:t>.</w:t>
      </w:r>
    </w:p>
  </w:footnote>
  <w:footnote w:id="40">
    <w:p w14:paraId="39A163EC" w14:textId="77777777"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w:t>
      </w:r>
      <w:r w:rsidRPr="00094D05">
        <w:rPr>
          <w:rFonts w:eastAsia="Times New Roman"/>
          <w:color w:val="000000"/>
          <w:szCs w:val="18"/>
        </w:rPr>
        <w:t xml:space="preserve">83 Fed. Reg. 61464, 61484. </w:t>
      </w:r>
      <w:r w:rsidRPr="00094D05">
        <w:rPr>
          <w:i/>
          <w:szCs w:val="18"/>
        </w:rPr>
        <w:t xml:space="preserve">See also </w:t>
      </w:r>
      <w:r w:rsidRPr="00094D05">
        <w:rPr>
          <w:color w:val="000000"/>
          <w:szCs w:val="18"/>
        </w:rPr>
        <w:t>§ 106.6(d)(1), which states that nothing in Title IX requires a school to “[r]estrict any rights that would otherwise be protected from government action by the First Amendment of the U.S. Constitution.”</w:t>
      </w:r>
    </w:p>
  </w:footnote>
  <w:footnote w:id="41">
    <w:p w14:paraId="7F831458" w14:textId="77777777"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w:t>
      </w:r>
      <w:r w:rsidRPr="00094D05">
        <w:rPr>
          <w:i/>
          <w:iCs/>
          <w:szCs w:val="18"/>
        </w:rPr>
        <w:t xml:space="preserve">See </w:t>
      </w:r>
      <w:r w:rsidRPr="00094D05">
        <w:rPr>
          <w:szCs w:val="18"/>
        </w:rPr>
        <w:t xml:space="preserve">Joanna L. Grossman &amp; Deborah L. Brake, </w:t>
      </w:r>
      <w:r w:rsidRPr="00094D05">
        <w:rPr>
          <w:i/>
          <w:iCs/>
          <w:szCs w:val="18"/>
        </w:rPr>
        <w:t>A Sharp Backward Turn: Department of Education Proposes to Protect Schools, Not Students, in Cases of Sexual Violence</w:t>
      </w:r>
      <w:r w:rsidRPr="00094D05">
        <w:rPr>
          <w:szCs w:val="18"/>
        </w:rPr>
        <w:t xml:space="preserve">, </w:t>
      </w:r>
      <w:r w:rsidRPr="00094D05">
        <w:rPr>
          <w:smallCaps/>
          <w:szCs w:val="18"/>
        </w:rPr>
        <w:t>Verdict</w:t>
      </w:r>
      <w:r w:rsidRPr="00094D05">
        <w:rPr>
          <w:szCs w:val="18"/>
        </w:rPr>
        <w:t xml:space="preserve"> (Nov. 29, 2018) [hereinafter </w:t>
      </w:r>
      <w:r w:rsidRPr="00094D05">
        <w:rPr>
          <w:i/>
          <w:szCs w:val="18"/>
        </w:rPr>
        <w:t>A Sharp Backward Turn</w:t>
      </w:r>
      <w:r w:rsidRPr="00094D05">
        <w:rPr>
          <w:szCs w:val="18"/>
        </w:rPr>
        <w:t xml:space="preserve">], </w:t>
      </w:r>
      <w:r w:rsidRPr="00094D05">
        <w:rPr>
          <w:i/>
          <w:iCs/>
          <w:szCs w:val="18"/>
        </w:rPr>
        <w:t xml:space="preserve">available at </w:t>
      </w:r>
      <w:r w:rsidRPr="00094D05">
        <w:rPr>
          <w:szCs w:val="18"/>
        </w:rPr>
        <w:t>https://verdict.justia.com/2018/11/29/a-sharp-backward-turn-department-of-education-proposes-to-protect-schools-not-students-in-cases-of-sexual-violence. (“There is no legitimate First Amendment or academic freedom protection afforded to unwelcome sexual conduct that creates a hostile educational environment.”).</w:t>
      </w:r>
    </w:p>
  </w:footnote>
  <w:footnote w:id="42">
    <w:p w14:paraId="62B07C56" w14:textId="376D9067"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2001 Guidance, </w:t>
      </w:r>
      <w:r w:rsidRPr="00094D05">
        <w:rPr>
          <w:i/>
          <w:szCs w:val="18"/>
        </w:rPr>
        <w:t xml:space="preserve">supra </w:t>
      </w:r>
      <w:r w:rsidRPr="00094D05">
        <w:rPr>
          <w:szCs w:val="18"/>
        </w:rPr>
        <w:t xml:space="preserve">note </w:t>
      </w:r>
      <w:r w:rsidRPr="00094D05">
        <w:rPr>
          <w:szCs w:val="18"/>
        </w:rPr>
        <w:fldChar w:fldCharType="begin"/>
      </w:r>
      <w:r w:rsidRPr="00094D05">
        <w:rPr>
          <w:szCs w:val="18"/>
        </w:rPr>
        <w:instrText xml:space="preserve"> NOTEREF _Ref532941901 \h  \* MERGEFORMAT </w:instrText>
      </w:r>
      <w:r w:rsidRPr="00094D05">
        <w:rPr>
          <w:szCs w:val="18"/>
        </w:rPr>
      </w:r>
      <w:r w:rsidRPr="00094D05">
        <w:rPr>
          <w:szCs w:val="18"/>
        </w:rPr>
        <w:fldChar w:fldCharType="separate"/>
      </w:r>
      <w:r w:rsidR="0011560B">
        <w:rPr>
          <w:szCs w:val="18"/>
        </w:rPr>
        <w:t>23</w:t>
      </w:r>
      <w:r w:rsidRPr="00094D05">
        <w:rPr>
          <w:szCs w:val="18"/>
        </w:rPr>
        <w:fldChar w:fldCharType="end"/>
      </w:r>
      <w:r w:rsidRPr="00094D05">
        <w:rPr>
          <w:szCs w:val="18"/>
        </w:rPr>
        <w:t>.</w:t>
      </w:r>
    </w:p>
  </w:footnote>
  <w:footnote w:id="43">
    <w:p w14:paraId="279EDF90" w14:textId="77777777"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w:t>
      </w:r>
      <w:r w:rsidRPr="00094D05">
        <w:rPr>
          <w:rFonts w:eastAsia="Times New Roman"/>
          <w:color w:val="000000"/>
          <w:szCs w:val="18"/>
        </w:rPr>
        <w:t>393 U.S. 503, 513, 514 (1969).</w:t>
      </w:r>
    </w:p>
  </w:footnote>
  <w:footnote w:id="44">
    <w:p w14:paraId="14F35582" w14:textId="77777777"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w:t>
      </w:r>
      <w:r w:rsidRPr="00094D05">
        <w:rPr>
          <w:i/>
          <w:szCs w:val="18"/>
        </w:rPr>
        <w:t xml:space="preserve">See </w:t>
      </w:r>
      <w:r w:rsidRPr="00094D05">
        <w:rPr>
          <w:szCs w:val="18"/>
        </w:rPr>
        <w:t xml:space="preserve">David Jackson et al., </w:t>
      </w:r>
      <w:r w:rsidRPr="00094D05">
        <w:rPr>
          <w:i/>
          <w:szCs w:val="18"/>
        </w:rPr>
        <w:t>Federal officials withhold grant money from Chicago Public Schools, citing failure to protect students from sexual abuse</w:t>
      </w:r>
      <w:r w:rsidRPr="00094D05">
        <w:rPr>
          <w:szCs w:val="18"/>
        </w:rPr>
        <w:t xml:space="preserve">, </w:t>
      </w:r>
      <w:r w:rsidRPr="00094D05">
        <w:rPr>
          <w:smallCaps/>
          <w:szCs w:val="18"/>
        </w:rPr>
        <w:t xml:space="preserve">Chicago Tribune </w:t>
      </w:r>
      <w:r w:rsidRPr="00094D05">
        <w:rPr>
          <w:szCs w:val="18"/>
        </w:rPr>
        <w:t>(Sept. 28, 2018), https://www.chicagotribune.com/news/local/breaking/ct-met-cps-civil-rights-20180925-story.html.</w:t>
      </w:r>
    </w:p>
  </w:footnote>
  <w:footnote w:id="45">
    <w:p w14:paraId="5624068F" w14:textId="77777777"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20 U.S.C. § 1681(a).</w:t>
      </w:r>
    </w:p>
  </w:footnote>
  <w:footnote w:id="46">
    <w:p w14:paraId="3F1C8DD7" w14:textId="7C13F27A"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2001 Guidance, </w:t>
      </w:r>
      <w:r w:rsidRPr="00094D05">
        <w:rPr>
          <w:i/>
          <w:szCs w:val="18"/>
        </w:rPr>
        <w:t xml:space="preserve">supra </w:t>
      </w:r>
      <w:r w:rsidRPr="00094D05">
        <w:rPr>
          <w:szCs w:val="18"/>
        </w:rPr>
        <w:t xml:space="preserve">note </w:t>
      </w:r>
      <w:r w:rsidRPr="00094D05">
        <w:rPr>
          <w:szCs w:val="18"/>
        </w:rPr>
        <w:fldChar w:fldCharType="begin"/>
      </w:r>
      <w:r w:rsidRPr="00094D05">
        <w:rPr>
          <w:szCs w:val="18"/>
        </w:rPr>
        <w:instrText xml:space="preserve"> NOTEREF _Ref532941901 \h  \* MERGEFORMAT </w:instrText>
      </w:r>
      <w:r w:rsidRPr="00094D05">
        <w:rPr>
          <w:szCs w:val="18"/>
        </w:rPr>
      </w:r>
      <w:r w:rsidRPr="00094D05">
        <w:rPr>
          <w:szCs w:val="18"/>
        </w:rPr>
        <w:fldChar w:fldCharType="separate"/>
      </w:r>
      <w:r w:rsidR="0011560B">
        <w:rPr>
          <w:szCs w:val="18"/>
        </w:rPr>
        <w:t>23</w:t>
      </w:r>
      <w:r w:rsidRPr="00094D05">
        <w:rPr>
          <w:szCs w:val="18"/>
        </w:rPr>
        <w:fldChar w:fldCharType="end"/>
      </w:r>
      <w:r w:rsidRPr="00094D05">
        <w:rPr>
          <w:szCs w:val="18"/>
        </w:rPr>
        <w:t>.</w:t>
      </w:r>
    </w:p>
  </w:footnote>
  <w:footnote w:id="47">
    <w:p w14:paraId="457A4E8B" w14:textId="1C81AF6B"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2017 Guidance, </w:t>
      </w:r>
      <w:r w:rsidRPr="00094D05">
        <w:rPr>
          <w:i/>
          <w:szCs w:val="18"/>
        </w:rPr>
        <w:t xml:space="preserve">supra </w:t>
      </w:r>
      <w:r w:rsidRPr="00094D05">
        <w:rPr>
          <w:szCs w:val="18"/>
        </w:rPr>
        <w:t xml:space="preserve">note </w:t>
      </w:r>
      <w:r w:rsidRPr="00094D05">
        <w:rPr>
          <w:szCs w:val="18"/>
        </w:rPr>
        <w:fldChar w:fldCharType="begin"/>
      </w:r>
      <w:r w:rsidRPr="00094D05">
        <w:rPr>
          <w:szCs w:val="18"/>
        </w:rPr>
        <w:instrText xml:space="preserve"> NOTEREF _Ref533075961 \h  \* MERGEFORMAT </w:instrText>
      </w:r>
      <w:r w:rsidRPr="00094D05">
        <w:rPr>
          <w:szCs w:val="18"/>
        </w:rPr>
      </w:r>
      <w:r w:rsidRPr="00094D05">
        <w:rPr>
          <w:szCs w:val="18"/>
        </w:rPr>
        <w:fldChar w:fldCharType="separate"/>
      </w:r>
      <w:r w:rsidR="0011560B">
        <w:rPr>
          <w:szCs w:val="18"/>
        </w:rPr>
        <w:t>22</w:t>
      </w:r>
      <w:r w:rsidRPr="00094D05">
        <w:rPr>
          <w:szCs w:val="18"/>
        </w:rPr>
        <w:fldChar w:fldCharType="end"/>
      </w:r>
      <w:r w:rsidRPr="00094D05">
        <w:rPr>
          <w:szCs w:val="18"/>
        </w:rPr>
        <w:t xml:space="preserve"> at 1 n.3 ( (“Schools are responsible for redressing a hostile environment that occurs on campus even if it relates to off-campus activities”); 2014 Guidance, </w:t>
      </w:r>
      <w:r w:rsidRPr="00094D05">
        <w:rPr>
          <w:i/>
          <w:szCs w:val="18"/>
        </w:rPr>
        <w:t xml:space="preserve">supra </w:t>
      </w:r>
      <w:r w:rsidRPr="00094D05">
        <w:rPr>
          <w:szCs w:val="18"/>
        </w:rPr>
        <w:t xml:space="preserve">note </w:t>
      </w:r>
      <w:r w:rsidRPr="00094D05">
        <w:rPr>
          <w:szCs w:val="18"/>
        </w:rPr>
        <w:fldChar w:fldCharType="begin"/>
      </w:r>
      <w:r w:rsidRPr="00094D05">
        <w:rPr>
          <w:szCs w:val="18"/>
        </w:rPr>
        <w:instrText xml:space="preserve"> NOTEREF _Ref533075961 \h  \* MERGEFORMAT </w:instrText>
      </w:r>
      <w:r w:rsidRPr="00094D05">
        <w:rPr>
          <w:szCs w:val="18"/>
        </w:rPr>
      </w:r>
      <w:r w:rsidRPr="00094D05">
        <w:rPr>
          <w:szCs w:val="18"/>
        </w:rPr>
        <w:fldChar w:fldCharType="separate"/>
      </w:r>
      <w:r w:rsidR="0011560B">
        <w:rPr>
          <w:szCs w:val="18"/>
        </w:rPr>
        <w:t>22</w:t>
      </w:r>
      <w:r w:rsidRPr="00094D05">
        <w:rPr>
          <w:szCs w:val="18"/>
        </w:rPr>
        <w:fldChar w:fldCharType="end"/>
      </w:r>
      <w:r w:rsidRPr="00094D05">
        <w:rPr>
          <w:szCs w:val="18"/>
        </w:rPr>
        <w:t xml:space="preserve"> (“a school must process all complaints of sexual violence, regardless of where the conduct occurred”); 2011 Guidance, </w:t>
      </w:r>
      <w:r w:rsidRPr="00094D05">
        <w:rPr>
          <w:i/>
          <w:szCs w:val="18"/>
        </w:rPr>
        <w:t xml:space="preserve">supra </w:t>
      </w:r>
      <w:r w:rsidRPr="00094D05">
        <w:rPr>
          <w:szCs w:val="18"/>
        </w:rPr>
        <w:t xml:space="preserve">note </w:t>
      </w:r>
      <w:r w:rsidRPr="00094D05">
        <w:rPr>
          <w:szCs w:val="18"/>
        </w:rPr>
        <w:fldChar w:fldCharType="begin"/>
      </w:r>
      <w:r w:rsidRPr="00094D05">
        <w:rPr>
          <w:szCs w:val="18"/>
        </w:rPr>
        <w:instrText xml:space="preserve"> NOTEREF _Ref533075961 \h  \* MERGEFORMAT </w:instrText>
      </w:r>
      <w:r w:rsidRPr="00094D05">
        <w:rPr>
          <w:szCs w:val="18"/>
        </w:rPr>
      </w:r>
      <w:r w:rsidRPr="00094D05">
        <w:rPr>
          <w:szCs w:val="18"/>
        </w:rPr>
        <w:fldChar w:fldCharType="separate"/>
      </w:r>
      <w:r w:rsidR="0011560B">
        <w:rPr>
          <w:szCs w:val="18"/>
        </w:rPr>
        <w:t>22</w:t>
      </w:r>
      <w:r w:rsidRPr="00094D05">
        <w:rPr>
          <w:szCs w:val="18"/>
        </w:rPr>
        <w:fldChar w:fldCharType="end"/>
      </w:r>
      <w:r w:rsidRPr="00094D05">
        <w:rPr>
          <w:szCs w:val="18"/>
        </w:rPr>
        <w:t xml:space="preserve"> (“Schools may have an obligation to respond to student-on-student sexual harassment that initially occurred off school grounds, outside a school’s education program or activity”); 2010 Guidance, </w:t>
      </w:r>
      <w:r w:rsidRPr="00094D05">
        <w:rPr>
          <w:i/>
          <w:szCs w:val="18"/>
        </w:rPr>
        <w:t xml:space="preserve">supra </w:t>
      </w:r>
      <w:r w:rsidRPr="00094D05">
        <w:rPr>
          <w:szCs w:val="18"/>
        </w:rPr>
        <w:t xml:space="preserve">note </w:t>
      </w:r>
      <w:r w:rsidRPr="00094D05">
        <w:rPr>
          <w:szCs w:val="18"/>
        </w:rPr>
        <w:fldChar w:fldCharType="begin"/>
      </w:r>
      <w:r w:rsidRPr="00094D05">
        <w:rPr>
          <w:szCs w:val="18"/>
        </w:rPr>
        <w:instrText xml:space="preserve"> NOTEREF _Ref533075961 \h  \* MERGEFORMAT </w:instrText>
      </w:r>
      <w:r w:rsidRPr="00094D05">
        <w:rPr>
          <w:szCs w:val="18"/>
        </w:rPr>
      </w:r>
      <w:r w:rsidRPr="00094D05">
        <w:rPr>
          <w:szCs w:val="18"/>
        </w:rPr>
        <w:fldChar w:fldCharType="separate"/>
      </w:r>
      <w:r w:rsidR="0011560B">
        <w:rPr>
          <w:szCs w:val="18"/>
        </w:rPr>
        <w:t>22</w:t>
      </w:r>
      <w:r w:rsidRPr="00094D05">
        <w:rPr>
          <w:szCs w:val="18"/>
        </w:rPr>
        <w:fldChar w:fldCharType="end"/>
      </w:r>
      <w:r w:rsidRPr="00094D05">
        <w:rPr>
          <w:szCs w:val="18"/>
        </w:rPr>
        <w:t xml:space="preserve"> at 2 (finding Title IX violation where “conduct is sufficiently severe, pervasive, or persistent so as to interfere with or limit a student’s ability to participate in or benefit from the services, activities, or opportunities offered by a school,” regardless of location of harassment).</w:t>
      </w:r>
    </w:p>
  </w:footnote>
  <w:footnote w:id="48">
    <w:p w14:paraId="0023F162" w14:textId="77777777"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The Department itself admitted in the previous leaked draft of the NPRM that 41% of college sexual assaults occur off campus. </w:t>
      </w:r>
      <w:r w:rsidRPr="00094D05">
        <w:rPr>
          <w:i/>
          <w:iCs/>
          <w:szCs w:val="18"/>
        </w:rPr>
        <w:t>See</w:t>
      </w:r>
      <w:r w:rsidRPr="00094D05">
        <w:rPr>
          <w:szCs w:val="18"/>
        </w:rPr>
        <w:t xml:space="preserve"> Letter from Anne C. Agnew to Paula Stannard et al., </w:t>
      </w:r>
      <w:r w:rsidRPr="00094D05">
        <w:rPr>
          <w:i/>
          <w:iCs/>
          <w:szCs w:val="18"/>
        </w:rPr>
        <w:t>HHS Review: Department of Education Regulation – Noon September 10</w:t>
      </w:r>
      <w:r w:rsidRPr="00094D05">
        <w:rPr>
          <w:szCs w:val="18"/>
        </w:rPr>
        <w:t xml:space="preserve">, </w:t>
      </w:r>
      <w:r w:rsidRPr="00094D05">
        <w:rPr>
          <w:smallCaps/>
          <w:szCs w:val="18"/>
        </w:rPr>
        <w:t>U.S. Dep’t of Health &amp; Human Services</w:t>
      </w:r>
      <w:r w:rsidRPr="00094D05">
        <w:rPr>
          <w:szCs w:val="18"/>
        </w:rPr>
        <w:t xml:space="preserve"> 79 n.21 (Sept. 5, 2018) [</w:t>
      </w:r>
      <w:r w:rsidRPr="00094D05">
        <w:rPr>
          <w:i/>
          <w:iCs/>
          <w:szCs w:val="18"/>
        </w:rPr>
        <w:t xml:space="preserve">hereinafter </w:t>
      </w:r>
      <w:r w:rsidRPr="00094D05">
        <w:rPr>
          <w:szCs w:val="18"/>
        </w:rPr>
        <w:t xml:space="preserve">Draft NPRM], </w:t>
      </w:r>
      <w:r w:rsidRPr="00094D05">
        <w:rPr>
          <w:i/>
          <w:iCs/>
          <w:szCs w:val="18"/>
        </w:rPr>
        <w:t xml:space="preserve">available at </w:t>
      </w:r>
      <w:r w:rsidRPr="00094D05">
        <w:rPr>
          <w:szCs w:val="18"/>
        </w:rPr>
        <w:t>https://atixa.org/wordpress/wp-content/uploads/2018/09/Draft-OCR-regulations-September-2018.pdf.</w:t>
      </w:r>
    </w:p>
  </w:footnote>
  <w:footnote w:id="49">
    <w:p w14:paraId="7DEFE9A1" w14:textId="6D7A0CD5"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2001 Guidance, </w:t>
      </w:r>
      <w:r w:rsidRPr="00094D05">
        <w:rPr>
          <w:i/>
          <w:szCs w:val="18"/>
        </w:rPr>
        <w:t>supra</w:t>
      </w:r>
      <w:r w:rsidRPr="00094D05">
        <w:rPr>
          <w:szCs w:val="18"/>
        </w:rPr>
        <w:t xml:space="preserve"> note </w:t>
      </w:r>
      <w:r w:rsidRPr="00094D05">
        <w:rPr>
          <w:szCs w:val="18"/>
        </w:rPr>
        <w:fldChar w:fldCharType="begin"/>
      </w:r>
      <w:r w:rsidRPr="00094D05">
        <w:rPr>
          <w:szCs w:val="18"/>
        </w:rPr>
        <w:instrText xml:space="preserve"> NOTEREF _Ref532941901 \h  \* MERGEFORMAT </w:instrText>
      </w:r>
      <w:r w:rsidRPr="00094D05">
        <w:rPr>
          <w:szCs w:val="18"/>
        </w:rPr>
      </w:r>
      <w:r w:rsidRPr="00094D05">
        <w:rPr>
          <w:szCs w:val="18"/>
        </w:rPr>
        <w:fldChar w:fldCharType="separate"/>
      </w:r>
      <w:r w:rsidR="0011560B">
        <w:rPr>
          <w:szCs w:val="18"/>
        </w:rPr>
        <w:t>23</w:t>
      </w:r>
      <w:r w:rsidRPr="00094D05">
        <w:rPr>
          <w:szCs w:val="18"/>
        </w:rPr>
        <w:fldChar w:fldCharType="end"/>
      </w:r>
      <w:r w:rsidRPr="00094D05">
        <w:rPr>
          <w:szCs w:val="18"/>
        </w:rPr>
        <w:t>.</w:t>
      </w:r>
    </w:p>
  </w:footnote>
  <w:footnote w:id="50">
    <w:p w14:paraId="77E2CC0F" w14:textId="77777777"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w:t>
      </w:r>
      <w:r w:rsidRPr="00094D05">
        <w:rPr>
          <w:rFonts w:eastAsia="Times New Roman"/>
          <w:color w:val="000000"/>
          <w:szCs w:val="18"/>
        </w:rPr>
        <w:t>Experts have recognized for decades</w:t>
      </w:r>
      <w:r w:rsidRPr="00094D05">
        <w:rPr>
          <w:color w:val="000000"/>
          <w:szCs w:val="18"/>
        </w:rPr>
        <w:t xml:space="preserve"> that </w:t>
      </w:r>
      <w:r w:rsidRPr="00094D05">
        <w:rPr>
          <w:i/>
          <w:iCs/>
          <w:color w:val="000000"/>
          <w:szCs w:val="18"/>
        </w:rPr>
        <w:t>mutual</w:t>
      </w:r>
      <w:r w:rsidRPr="00094D05">
        <w:rPr>
          <w:color w:val="000000"/>
          <w:szCs w:val="18"/>
        </w:rPr>
        <w:t xml:space="preserve"> no-contact orders are harmful to victims, because abusers often manipulate their victims into violating the mutual order.</w:t>
      </w:r>
      <w:r w:rsidRPr="00094D05">
        <w:rPr>
          <w:i/>
          <w:szCs w:val="18"/>
        </w:rPr>
        <w:t xml:space="preserve"> E.g.</w:t>
      </w:r>
      <w:r w:rsidRPr="00094D05">
        <w:rPr>
          <w:szCs w:val="18"/>
        </w:rPr>
        <w:t xml:space="preserve">, Joan Zorza, </w:t>
      </w:r>
      <w:r w:rsidRPr="00094D05">
        <w:rPr>
          <w:i/>
          <w:szCs w:val="18"/>
        </w:rPr>
        <w:t>What Is Wrong with Mutual Orders of Protection?</w:t>
      </w:r>
      <w:r w:rsidRPr="00094D05">
        <w:rPr>
          <w:szCs w:val="18"/>
        </w:rPr>
        <w:t xml:space="preserve"> 4(5) </w:t>
      </w:r>
      <w:r w:rsidRPr="00094D05">
        <w:rPr>
          <w:smallCaps/>
          <w:szCs w:val="18"/>
        </w:rPr>
        <w:t xml:space="preserve">Domestic Violence Rep. </w:t>
      </w:r>
      <w:r w:rsidRPr="00094D05">
        <w:rPr>
          <w:szCs w:val="18"/>
        </w:rPr>
        <w:t xml:space="preserve">67 (1999), </w:t>
      </w:r>
      <w:r w:rsidRPr="00094D05">
        <w:rPr>
          <w:i/>
          <w:szCs w:val="18"/>
        </w:rPr>
        <w:t xml:space="preserve">available at </w:t>
      </w:r>
      <w:r w:rsidRPr="00094D05">
        <w:rPr>
          <w:szCs w:val="18"/>
        </w:rPr>
        <w:t>https://www.civicresearchinstitute.com/online/article.php?pid=18&amp;iid=1005.</w:t>
      </w:r>
    </w:p>
  </w:footnote>
  <w:footnote w:id="51">
    <w:p w14:paraId="52BB4C5E" w14:textId="26F228E1"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2001 Guidance, </w:t>
      </w:r>
      <w:r w:rsidRPr="00094D05">
        <w:rPr>
          <w:i/>
          <w:iCs/>
          <w:szCs w:val="18"/>
        </w:rPr>
        <w:t>supra</w:t>
      </w:r>
      <w:r w:rsidRPr="00094D05">
        <w:rPr>
          <w:szCs w:val="18"/>
        </w:rPr>
        <w:t xml:space="preserve"> note </w:t>
      </w:r>
      <w:r w:rsidRPr="00094D05">
        <w:rPr>
          <w:szCs w:val="18"/>
        </w:rPr>
        <w:fldChar w:fldCharType="begin"/>
      </w:r>
      <w:r w:rsidRPr="00094D05">
        <w:rPr>
          <w:szCs w:val="18"/>
        </w:rPr>
        <w:instrText xml:space="preserve"> NOTEREF _Ref532941901 \h  \* MERGEFORMAT </w:instrText>
      </w:r>
      <w:r w:rsidRPr="00094D05">
        <w:rPr>
          <w:szCs w:val="18"/>
        </w:rPr>
      </w:r>
      <w:r w:rsidRPr="00094D05">
        <w:rPr>
          <w:szCs w:val="18"/>
        </w:rPr>
        <w:fldChar w:fldCharType="separate"/>
      </w:r>
      <w:r w:rsidR="0011560B">
        <w:rPr>
          <w:szCs w:val="18"/>
        </w:rPr>
        <w:t>23</w:t>
      </w:r>
      <w:r w:rsidRPr="00094D05">
        <w:rPr>
          <w:szCs w:val="18"/>
        </w:rPr>
        <w:fldChar w:fldCharType="end"/>
      </w:r>
      <w:r w:rsidRPr="00094D05">
        <w:rPr>
          <w:szCs w:val="18"/>
        </w:rPr>
        <w:t>, at 16.</w:t>
      </w:r>
    </w:p>
  </w:footnote>
  <w:footnote w:id="52">
    <w:p w14:paraId="766D81CB" w14:textId="77777777"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Association for Student Conduct Administration,</w:t>
      </w:r>
      <w:r w:rsidRPr="00094D05">
        <w:rPr>
          <w:i/>
          <w:szCs w:val="18"/>
        </w:rPr>
        <w:t xml:space="preserve"> ASCA 2014 White Paper: Student Conduct Administration &amp; Title IX: Gold Standard Practices for Resolution of Allegations of Sexual Misconduct on College Campuses</w:t>
      </w:r>
      <w:r w:rsidRPr="00094D05">
        <w:rPr>
          <w:szCs w:val="18"/>
        </w:rPr>
        <w:t xml:space="preserve"> 2 (2014) [hereinafter </w:t>
      </w:r>
      <w:r w:rsidRPr="00094D05">
        <w:rPr>
          <w:i/>
          <w:szCs w:val="18"/>
        </w:rPr>
        <w:t>ASCA 2014 White Paper</w:t>
      </w:r>
      <w:r w:rsidRPr="00094D05">
        <w:rPr>
          <w:szCs w:val="18"/>
        </w:rPr>
        <w:t xml:space="preserve">], </w:t>
      </w:r>
      <w:r w:rsidRPr="00094D05">
        <w:rPr>
          <w:i/>
          <w:szCs w:val="18"/>
        </w:rPr>
        <w:t>available at</w:t>
      </w:r>
      <w:r w:rsidRPr="00094D05">
        <w:rPr>
          <w:szCs w:val="18"/>
        </w:rPr>
        <w:t xml:space="preserve"> https://www.theasca.org/Files/Publications/ASCA%202014%20White%20Paper.pdf.</w:t>
      </w:r>
    </w:p>
  </w:footnote>
  <w:footnote w:id="53">
    <w:p w14:paraId="62194C2B" w14:textId="77777777"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Transgender students are especially at risk because this proposed change threatens to compound the harms created by (i) </w:t>
      </w:r>
      <w:r>
        <w:rPr>
          <w:szCs w:val="18"/>
        </w:rPr>
        <w:t>the Department</w:t>
      </w:r>
      <w:r w:rsidRPr="00094D05">
        <w:rPr>
          <w:szCs w:val="18"/>
        </w:rPr>
        <w:t>’s decision in February 2017 to rescind Title IX guidance on the rights of transgender students;</w:t>
      </w:r>
      <w:r w:rsidRPr="00094D05">
        <w:rPr>
          <w:szCs w:val="18"/>
          <w:vertAlign w:val="superscript"/>
        </w:rPr>
        <w:footnoteRef/>
      </w:r>
      <w:r w:rsidRPr="00094D05">
        <w:rPr>
          <w:szCs w:val="18"/>
        </w:rPr>
        <w:t xml:space="preserve"> (ii) </w:t>
      </w:r>
      <w:r>
        <w:rPr>
          <w:szCs w:val="18"/>
        </w:rPr>
        <w:t>the Department</w:t>
      </w:r>
      <w:r w:rsidRPr="00094D05">
        <w:rPr>
          <w:szCs w:val="18"/>
        </w:rPr>
        <w:t xml:space="preserve">’s decision in February 2018 to stop investigating civil rights complaints from transgender students regarding access to sex-segregated facilities; and (iii) HHS’s leaked proposal in October 2018 for </w:t>
      </w:r>
      <w:r>
        <w:rPr>
          <w:szCs w:val="18"/>
        </w:rPr>
        <w:t>the Department</w:t>
      </w:r>
      <w:r w:rsidRPr="00094D05">
        <w:rPr>
          <w:szCs w:val="18"/>
        </w:rPr>
        <w:t xml:space="preserve"> and other federal agencies to define “sex” to exclude transgender, non-binary, and intersex students. Erica. L. Green et al., </w:t>
      </w:r>
      <w:r w:rsidRPr="00094D05">
        <w:rPr>
          <w:i/>
          <w:iCs/>
          <w:szCs w:val="18"/>
        </w:rPr>
        <w:t>‘Transgender’ Could Be Defined Out of Existence Under Trump Administration</w:t>
      </w:r>
      <w:r w:rsidRPr="00094D05">
        <w:rPr>
          <w:szCs w:val="18"/>
        </w:rPr>
        <w:t xml:space="preserve">, </w:t>
      </w:r>
      <w:r w:rsidRPr="00094D05">
        <w:rPr>
          <w:smallCaps/>
          <w:szCs w:val="18"/>
        </w:rPr>
        <w:t xml:space="preserve">New York Times </w:t>
      </w:r>
      <w:r w:rsidRPr="00094D05">
        <w:rPr>
          <w:szCs w:val="18"/>
        </w:rPr>
        <w:t>(Oct. 21, 2018), https://www.nytimes.com/2018/10/21/us/politics/transgender-trump-administration-sex-definition.html.</w:t>
      </w:r>
    </w:p>
  </w:footnote>
  <w:footnote w:id="54">
    <w:p w14:paraId="7F8BFE89" w14:textId="77777777"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34 C.F.R. § 106.9(a).</w:t>
      </w:r>
    </w:p>
  </w:footnote>
  <w:footnote w:id="55">
    <w:p w14:paraId="38B0C3B5" w14:textId="77777777"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w:t>
      </w:r>
      <w:r w:rsidRPr="00094D05">
        <w:rPr>
          <w:color w:val="000000"/>
          <w:szCs w:val="18"/>
        </w:rPr>
        <w:t>Proposed rule §106.8(b)(1).</w:t>
      </w:r>
    </w:p>
  </w:footnote>
  <w:footnote w:id="56">
    <w:p w14:paraId="7050CCFE" w14:textId="77777777"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34 C.F.R. § 106.8(b).</w:t>
      </w:r>
    </w:p>
  </w:footnote>
  <w:footnote w:id="57">
    <w:p w14:paraId="66D52F19" w14:textId="77777777"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w:t>
      </w:r>
      <w:r w:rsidRPr="00094D05">
        <w:rPr>
          <w:i/>
          <w:szCs w:val="18"/>
        </w:rPr>
        <w:t xml:space="preserve">See </w:t>
      </w:r>
      <w:r w:rsidRPr="00094D05">
        <w:rPr>
          <w:szCs w:val="18"/>
        </w:rPr>
        <w:t>proposed rule § 106.8(c).</w:t>
      </w:r>
    </w:p>
  </w:footnote>
  <w:footnote w:id="58">
    <w:p w14:paraId="1B7CB19E" w14:textId="77777777"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Proposed rule § 106.6(d)(2).</w:t>
      </w:r>
    </w:p>
  </w:footnote>
  <w:footnote w:id="59">
    <w:p w14:paraId="19B6C495" w14:textId="77777777"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Constitutional due process requirements do not apply to private institutions. </w:t>
      </w:r>
    </w:p>
  </w:footnote>
  <w:footnote w:id="60">
    <w:p w14:paraId="13A034DD" w14:textId="77777777"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w:t>
      </w:r>
      <w:r w:rsidRPr="00094D05">
        <w:rPr>
          <w:i/>
          <w:iCs/>
          <w:szCs w:val="18"/>
        </w:rPr>
        <w:t>Goss v. Lopez</w:t>
      </w:r>
      <w:r w:rsidRPr="00094D05">
        <w:rPr>
          <w:szCs w:val="18"/>
        </w:rPr>
        <w:t>, 419 U.S. 565, 566, 579 (1975).</w:t>
      </w:r>
    </w:p>
  </w:footnote>
  <w:footnote w:id="61">
    <w:p w14:paraId="0418C6A0" w14:textId="77777777"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w:t>
      </w:r>
      <w:r w:rsidRPr="00094D05">
        <w:rPr>
          <w:i/>
          <w:szCs w:val="18"/>
        </w:rPr>
        <w:t xml:space="preserve">Id. </w:t>
      </w:r>
      <w:r w:rsidRPr="00094D05">
        <w:rPr>
          <w:szCs w:val="18"/>
        </w:rPr>
        <w:t xml:space="preserve">at 583. </w:t>
      </w:r>
      <w:r w:rsidRPr="00094D05">
        <w:rPr>
          <w:i/>
          <w:iCs/>
          <w:szCs w:val="18"/>
        </w:rPr>
        <w:t xml:space="preserve">See also </w:t>
      </w:r>
      <w:r w:rsidRPr="00094D05">
        <w:rPr>
          <w:i/>
          <w:szCs w:val="18"/>
        </w:rPr>
        <w:t>Gomes v. Univ. of Maine Sys.</w:t>
      </w:r>
      <w:r w:rsidRPr="00094D05">
        <w:rPr>
          <w:szCs w:val="18"/>
        </w:rPr>
        <w:t xml:space="preserve">, 365 F. Supp. 2d 6, 23 (D. Me. 2005); </w:t>
      </w:r>
      <w:r w:rsidRPr="00094D05">
        <w:rPr>
          <w:i/>
          <w:szCs w:val="18"/>
        </w:rPr>
        <w:t>B.S. v. Bd. of Sch. Trs</w:t>
      </w:r>
      <w:r w:rsidRPr="00094D05">
        <w:rPr>
          <w:i/>
          <w:iCs/>
          <w:szCs w:val="18"/>
        </w:rPr>
        <w:t>.</w:t>
      </w:r>
      <w:r w:rsidRPr="00094D05">
        <w:rPr>
          <w:szCs w:val="18"/>
        </w:rPr>
        <w:t xml:space="preserve">, 255 F. Supp. 2d 891, 899 (N.D. Ind. 2003); </w:t>
      </w:r>
      <w:r w:rsidRPr="00094D05">
        <w:rPr>
          <w:i/>
          <w:szCs w:val="18"/>
        </w:rPr>
        <w:t>Coplin v. Conejo Valley Unified Sch. Dist.</w:t>
      </w:r>
      <w:r w:rsidRPr="00094D05">
        <w:rPr>
          <w:szCs w:val="18"/>
        </w:rPr>
        <w:t xml:space="preserve">, 903 F. Supp. 1377, 1383 (C.D. Cal. 1995); </w:t>
      </w:r>
      <w:r w:rsidRPr="00094D05">
        <w:rPr>
          <w:i/>
          <w:szCs w:val="18"/>
        </w:rPr>
        <w:t>Fellheimer v. Middlebury Coll.</w:t>
      </w:r>
      <w:r w:rsidRPr="00094D05">
        <w:rPr>
          <w:szCs w:val="18"/>
        </w:rPr>
        <w:t>, 869 F. Supp. 238, 247 (D. Vt. 1994).</w:t>
      </w:r>
    </w:p>
  </w:footnote>
  <w:footnote w:id="62">
    <w:p w14:paraId="45888E6A" w14:textId="77777777"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w:t>
      </w:r>
      <w:r w:rsidRPr="00094D05">
        <w:rPr>
          <w:i/>
          <w:szCs w:val="18"/>
        </w:rPr>
        <w:t>E.g.</w:t>
      </w:r>
      <w:r w:rsidRPr="00094D05">
        <w:rPr>
          <w:szCs w:val="18"/>
        </w:rPr>
        <w:t xml:space="preserve">, </w:t>
      </w:r>
      <w:r w:rsidRPr="00094D05">
        <w:rPr>
          <w:i/>
          <w:szCs w:val="18"/>
        </w:rPr>
        <w:t>Dixon v. Alabama State Bd. of Educ.</w:t>
      </w:r>
      <w:r w:rsidRPr="00094D05">
        <w:rPr>
          <w:szCs w:val="18"/>
        </w:rPr>
        <w:t xml:space="preserve">, 294 F.2d 150, 158 (5th Cir. 1961), </w:t>
      </w:r>
      <w:r w:rsidRPr="00094D05">
        <w:rPr>
          <w:i/>
          <w:szCs w:val="18"/>
        </w:rPr>
        <w:t>cert. denied</w:t>
      </w:r>
      <w:r w:rsidRPr="00094D05">
        <w:rPr>
          <w:szCs w:val="18"/>
        </w:rPr>
        <w:t>, 368 U.S. 930 (1961).</w:t>
      </w:r>
    </w:p>
  </w:footnote>
  <w:footnote w:id="63">
    <w:p w14:paraId="22CC4B61" w14:textId="13CAC7A7"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2001 Guidance, </w:t>
      </w:r>
      <w:r w:rsidRPr="00094D05">
        <w:rPr>
          <w:i/>
          <w:iCs/>
          <w:szCs w:val="18"/>
        </w:rPr>
        <w:t>supra</w:t>
      </w:r>
      <w:r w:rsidRPr="00094D05">
        <w:rPr>
          <w:szCs w:val="18"/>
        </w:rPr>
        <w:t xml:space="preserve"> note </w:t>
      </w:r>
      <w:r w:rsidRPr="00094D05">
        <w:rPr>
          <w:szCs w:val="18"/>
        </w:rPr>
        <w:fldChar w:fldCharType="begin"/>
      </w:r>
      <w:r w:rsidRPr="00094D05">
        <w:rPr>
          <w:szCs w:val="18"/>
        </w:rPr>
        <w:instrText xml:space="preserve"> NOTEREF _Ref532941901 \h  \* MERGEFORMAT </w:instrText>
      </w:r>
      <w:r w:rsidRPr="00094D05">
        <w:rPr>
          <w:szCs w:val="18"/>
        </w:rPr>
      </w:r>
      <w:r w:rsidRPr="00094D05">
        <w:rPr>
          <w:szCs w:val="18"/>
        </w:rPr>
        <w:fldChar w:fldCharType="separate"/>
      </w:r>
      <w:r w:rsidR="0011560B">
        <w:rPr>
          <w:szCs w:val="18"/>
        </w:rPr>
        <w:t>23</w:t>
      </w:r>
      <w:r w:rsidRPr="00094D05">
        <w:rPr>
          <w:szCs w:val="18"/>
        </w:rPr>
        <w:fldChar w:fldCharType="end"/>
      </w:r>
      <w:r w:rsidRPr="00094D05">
        <w:rPr>
          <w:szCs w:val="18"/>
        </w:rPr>
        <w:t xml:space="preserve"> at 22.</w:t>
      </w:r>
    </w:p>
  </w:footnote>
  <w:footnote w:id="64">
    <w:p w14:paraId="12749E09" w14:textId="4C8C4B32"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Indeed, the data shows that men and boys are far more likely to be victims of sexual assault than to be falsely accused of it. </w:t>
      </w:r>
      <w:r w:rsidRPr="00094D05">
        <w:rPr>
          <w:i/>
          <w:szCs w:val="18"/>
        </w:rPr>
        <w:t>See, e.g.,</w:t>
      </w:r>
      <w:r w:rsidRPr="00094D05">
        <w:rPr>
          <w:szCs w:val="18"/>
        </w:rPr>
        <w:t xml:space="preserve"> Kingkade,</w:t>
      </w:r>
      <w:r w:rsidRPr="00094D05">
        <w:rPr>
          <w:i/>
          <w:iCs/>
          <w:szCs w:val="18"/>
        </w:rPr>
        <w:t xml:space="preserve"> supra</w:t>
      </w:r>
      <w:r w:rsidRPr="00094D05">
        <w:rPr>
          <w:iCs/>
          <w:szCs w:val="18"/>
        </w:rPr>
        <w:t xml:space="preserve"> note </w:t>
      </w:r>
      <w:r w:rsidRPr="00094D05">
        <w:rPr>
          <w:iCs/>
          <w:szCs w:val="18"/>
        </w:rPr>
        <w:fldChar w:fldCharType="begin"/>
      </w:r>
      <w:r w:rsidRPr="00094D05">
        <w:rPr>
          <w:iCs/>
          <w:szCs w:val="18"/>
        </w:rPr>
        <w:instrText xml:space="preserve"> NOTEREF _Ref533076636 \h  \* MERGEFORMAT </w:instrText>
      </w:r>
      <w:r w:rsidRPr="00094D05">
        <w:rPr>
          <w:iCs/>
          <w:szCs w:val="18"/>
        </w:rPr>
      </w:r>
      <w:r w:rsidRPr="00094D05">
        <w:rPr>
          <w:iCs/>
          <w:szCs w:val="18"/>
        </w:rPr>
        <w:fldChar w:fldCharType="separate"/>
      </w:r>
      <w:r w:rsidR="0011560B">
        <w:rPr>
          <w:iCs/>
          <w:szCs w:val="18"/>
        </w:rPr>
        <w:t>5</w:t>
      </w:r>
      <w:r w:rsidRPr="00094D05">
        <w:rPr>
          <w:iCs/>
          <w:szCs w:val="18"/>
        </w:rPr>
        <w:fldChar w:fldCharType="end"/>
      </w:r>
      <w:r w:rsidRPr="00094D05">
        <w:rPr>
          <w:szCs w:val="18"/>
        </w:rPr>
        <w:t>.</w:t>
      </w:r>
    </w:p>
  </w:footnote>
  <w:footnote w:id="65">
    <w:p w14:paraId="1EDF71EC" w14:textId="77777777"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w:t>
      </w:r>
      <w:r w:rsidRPr="00094D05">
        <w:rPr>
          <w:i/>
          <w:szCs w:val="18"/>
        </w:rPr>
        <w:t>See also</w:t>
      </w:r>
      <w:r w:rsidRPr="00094D05">
        <w:rPr>
          <w:szCs w:val="18"/>
        </w:rPr>
        <w:t xml:space="preserve"> </w:t>
      </w:r>
      <w:r>
        <w:rPr>
          <w:szCs w:val="18"/>
        </w:rPr>
        <w:t>the Department</w:t>
      </w:r>
      <w:r w:rsidRPr="00094D05">
        <w:rPr>
          <w:szCs w:val="18"/>
        </w:rPr>
        <w:t xml:space="preserve">’s reference to “inculpatory and exculpatory evidence” (§ 106.45(b)(1)(ii)), </w:t>
      </w:r>
      <w:r>
        <w:rPr>
          <w:szCs w:val="18"/>
        </w:rPr>
        <w:t>the Department</w:t>
      </w:r>
      <w:r w:rsidRPr="00094D05">
        <w:rPr>
          <w:szCs w:val="18"/>
        </w:rPr>
        <w:t xml:space="preserve">’s assertion that “guilt [should] not [be] predetermined” (83 Fed. Reg. 61464), and Secretary DeVos’s discussion of the “presumption of innocence” (Betsy DeVos, </w:t>
      </w:r>
      <w:r w:rsidRPr="00094D05">
        <w:rPr>
          <w:i/>
          <w:szCs w:val="18"/>
        </w:rPr>
        <w:t>Betsey DeVos: It’s time we balance the scales of justice in our schools</w:t>
      </w:r>
      <w:r w:rsidRPr="00094D05">
        <w:rPr>
          <w:szCs w:val="18"/>
        </w:rPr>
        <w:t xml:space="preserve">, Washington Post (Nov. 20, 2018), </w:t>
      </w:r>
      <w:r w:rsidRPr="00094D05">
        <w:rPr>
          <w:rStyle w:val="Hyperlink"/>
          <w:szCs w:val="18"/>
        </w:rPr>
        <w:t>https://www.washingtonpost.com/opinions/betsey-devos-its-time-we-balance-the-scales-of-justice-in-our-schools/2018/11/20/8dc59348-ecd6-11e8-9236-bb94154151d2_story.html</w:t>
      </w:r>
      <w:r w:rsidRPr="00094D05">
        <w:rPr>
          <w:szCs w:val="18"/>
        </w:rPr>
        <w:t xml:space="preserve">. </w:t>
      </w:r>
    </w:p>
  </w:footnote>
  <w:footnote w:id="66">
    <w:p w14:paraId="7D223C7A" w14:textId="77777777"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w:t>
      </w:r>
      <w:r w:rsidRPr="00094D05">
        <w:rPr>
          <w:i/>
          <w:szCs w:val="18"/>
        </w:rPr>
        <w:t>E.g.</w:t>
      </w:r>
      <w:r w:rsidRPr="00094D05">
        <w:rPr>
          <w:szCs w:val="18"/>
        </w:rPr>
        <w:t>,</w:t>
      </w:r>
      <w:r w:rsidRPr="00094D05">
        <w:rPr>
          <w:i/>
          <w:szCs w:val="18"/>
        </w:rPr>
        <w:t xml:space="preserve"> </w:t>
      </w:r>
      <w:r w:rsidRPr="00094D05">
        <w:rPr>
          <w:szCs w:val="18"/>
        </w:rPr>
        <w:t>Tyler Kingkade,</w:t>
      </w:r>
      <w:r w:rsidRPr="00094D05">
        <w:rPr>
          <w:i/>
          <w:szCs w:val="18"/>
        </w:rPr>
        <w:t xml:space="preserve"> When Colleges Threaten To Punish Students Who Report Sexual Violence</w:t>
      </w:r>
      <w:r w:rsidRPr="00094D05">
        <w:rPr>
          <w:szCs w:val="18"/>
        </w:rPr>
        <w:t xml:space="preserve">, </w:t>
      </w:r>
      <w:r w:rsidRPr="00094D05">
        <w:rPr>
          <w:smallCaps/>
          <w:szCs w:val="18"/>
        </w:rPr>
        <w:t>Huffington Post</w:t>
      </w:r>
      <w:r w:rsidRPr="00094D05">
        <w:rPr>
          <w:szCs w:val="18"/>
        </w:rPr>
        <w:t xml:space="preserve"> (Sept. 9, 2015), https://www.huffingtonpost.com/entry/sexual-assault-victims-punishment_us_55ada33de4b0caf721b3b61c.</w:t>
      </w:r>
    </w:p>
  </w:footnote>
  <w:footnote w:id="67">
    <w:p w14:paraId="25771B0B" w14:textId="77777777"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w:t>
      </w:r>
      <w:r w:rsidRPr="00094D05">
        <w:rPr>
          <w:i/>
          <w:iCs/>
          <w:szCs w:val="18"/>
        </w:rPr>
        <w:t>E.g.</w:t>
      </w:r>
      <w:r w:rsidRPr="00094D05">
        <w:rPr>
          <w:szCs w:val="18"/>
        </w:rPr>
        <w:t xml:space="preserve">, Nancy Chi Cantalupo, </w:t>
      </w:r>
      <w:r w:rsidRPr="00094D05">
        <w:rPr>
          <w:i/>
          <w:iCs/>
          <w:szCs w:val="18"/>
        </w:rPr>
        <w:t>And Even More of Us Are Brave: Intersectionality &amp; Sexual Harassment of Women Students of Color</w:t>
      </w:r>
      <w:r w:rsidRPr="00094D05">
        <w:rPr>
          <w:szCs w:val="18"/>
        </w:rPr>
        <w:t xml:space="preserve">, 42 </w:t>
      </w:r>
      <w:r w:rsidRPr="00094D05">
        <w:rPr>
          <w:smallCaps/>
          <w:szCs w:val="18"/>
        </w:rPr>
        <w:t>Harvard J.L. &amp; Gender 1, 16, 24-29 (</w:t>
      </w:r>
      <w:r w:rsidRPr="00094D05">
        <w:rPr>
          <w:szCs w:val="18"/>
        </w:rPr>
        <w:t>forthcoming</w:t>
      </w:r>
      <w:r w:rsidRPr="00094D05">
        <w:rPr>
          <w:smallCaps/>
          <w:szCs w:val="18"/>
        </w:rPr>
        <w:t>)</w:t>
      </w:r>
      <w:r w:rsidRPr="00094D05">
        <w:rPr>
          <w:szCs w:val="18"/>
        </w:rPr>
        <w:t xml:space="preserve">, </w:t>
      </w:r>
      <w:r w:rsidRPr="00094D05">
        <w:rPr>
          <w:i/>
          <w:iCs/>
          <w:szCs w:val="18"/>
        </w:rPr>
        <w:t xml:space="preserve">available at </w:t>
      </w:r>
      <w:r w:rsidRPr="00094D05">
        <w:rPr>
          <w:szCs w:val="18"/>
        </w:rPr>
        <w:t>https://ssrn.com/abstract=3168909</w:t>
      </w:r>
      <w:r w:rsidRPr="00094D05">
        <w:rPr>
          <w:iCs/>
          <w:szCs w:val="18"/>
        </w:rPr>
        <w:t xml:space="preserve">; </w:t>
      </w:r>
      <w:r w:rsidRPr="00094D05">
        <w:rPr>
          <w:szCs w:val="18"/>
        </w:rPr>
        <w:t xml:space="preserve">National Women’s Law Center, </w:t>
      </w:r>
      <w:r w:rsidRPr="00094D05">
        <w:rPr>
          <w:i/>
          <w:szCs w:val="18"/>
        </w:rPr>
        <w:t>Let Her Learn: A Toolkit To Stop School Pushout for Girls of Color</w:t>
      </w:r>
      <w:r w:rsidRPr="00094D05">
        <w:rPr>
          <w:szCs w:val="18"/>
        </w:rPr>
        <w:t xml:space="preserve"> 1 (2016) [hereinafter </w:t>
      </w:r>
      <w:r w:rsidRPr="00094D05">
        <w:rPr>
          <w:i/>
          <w:szCs w:val="18"/>
        </w:rPr>
        <w:t>Let Her Learn: Girls of Color</w:t>
      </w:r>
      <w:r w:rsidRPr="00094D05">
        <w:rPr>
          <w:szCs w:val="18"/>
        </w:rPr>
        <w:t xml:space="preserve">], </w:t>
      </w:r>
      <w:r w:rsidRPr="00094D05">
        <w:rPr>
          <w:i/>
          <w:szCs w:val="18"/>
        </w:rPr>
        <w:t>available at</w:t>
      </w:r>
      <w:r w:rsidRPr="00094D05">
        <w:rPr>
          <w:szCs w:val="18"/>
        </w:rPr>
        <w:t xml:space="preserve"> https://nwlc.org/resources/let-her-learn-a-toolkit-to-stop-school-push-out-for-girls-of-color.</w:t>
      </w:r>
    </w:p>
  </w:footnote>
  <w:footnote w:id="68">
    <w:p w14:paraId="65553F40" w14:textId="77777777"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Chambers &amp; Erausquin, </w:t>
      </w:r>
      <w:r w:rsidRPr="00094D05">
        <w:rPr>
          <w:i/>
          <w:szCs w:val="18"/>
        </w:rPr>
        <w:t>The Promise of Intersectional Stigma to Understand the Complexities of Adolescent Pregnancy and Motherhood</w:t>
      </w:r>
      <w:r w:rsidRPr="00094D05">
        <w:rPr>
          <w:szCs w:val="18"/>
        </w:rPr>
        <w:t xml:space="preserve">, </w:t>
      </w:r>
      <w:r w:rsidRPr="00094D05">
        <w:rPr>
          <w:smallCaps/>
          <w:szCs w:val="18"/>
        </w:rPr>
        <w:t xml:space="preserve">Journal of Child Adolescent Behavior </w:t>
      </w:r>
      <w:r w:rsidRPr="00094D05">
        <w:rPr>
          <w:szCs w:val="18"/>
        </w:rPr>
        <w:t xml:space="preserve">(2015), </w:t>
      </w:r>
      <w:r w:rsidRPr="00094D05">
        <w:rPr>
          <w:i/>
          <w:szCs w:val="18"/>
        </w:rPr>
        <w:t xml:space="preserve">available at </w:t>
      </w:r>
      <w:r w:rsidRPr="00094D05">
        <w:rPr>
          <w:szCs w:val="18"/>
        </w:rPr>
        <w:t>https://www.omicsonline.org/open-access/the-promise-of-intersectional-stigma-to-understand-the-complexities-ofadolescent-pregnancy-and-motherhood-2375-4494-1000249.pdf.</w:t>
      </w:r>
    </w:p>
  </w:footnote>
  <w:footnote w:id="69">
    <w:p w14:paraId="12685451" w14:textId="77777777"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w:t>
      </w:r>
      <w:r w:rsidRPr="00094D05">
        <w:rPr>
          <w:i/>
          <w:szCs w:val="18"/>
        </w:rPr>
        <w:t>See e.g.</w:t>
      </w:r>
      <w:r w:rsidRPr="00094D05">
        <w:rPr>
          <w:szCs w:val="18"/>
        </w:rPr>
        <w:t xml:space="preserve">, David Pinsof, et al., </w:t>
      </w:r>
      <w:r w:rsidRPr="00094D05">
        <w:rPr>
          <w:i/>
          <w:szCs w:val="18"/>
        </w:rPr>
        <w:t>The Effect of the Promiscuity Stereotype on Opposition to Gay Rights</w:t>
      </w:r>
      <w:r w:rsidRPr="00094D05">
        <w:rPr>
          <w:szCs w:val="18"/>
        </w:rPr>
        <w:t xml:space="preserve"> (2017),</w:t>
      </w:r>
      <w:r w:rsidRPr="00094D05">
        <w:rPr>
          <w:i/>
          <w:szCs w:val="18"/>
        </w:rPr>
        <w:t xml:space="preserve"> available at</w:t>
      </w:r>
      <w:r w:rsidRPr="00094D05">
        <w:rPr>
          <w:szCs w:val="18"/>
        </w:rPr>
        <w:t xml:space="preserve"> https://doi.org/10.1371/journal.pone.0178534.</w:t>
      </w:r>
    </w:p>
  </w:footnote>
  <w:footnote w:id="70">
    <w:p w14:paraId="477767A4" w14:textId="18EFD413"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w:t>
      </w:r>
      <w:r w:rsidRPr="00094D05">
        <w:rPr>
          <w:i/>
          <w:szCs w:val="18"/>
        </w:rPr>
        <w:t>Let Her Learn: Girls of Color</w:t>
      </w:r>
      <w:r w:rsidRPr="00094D05">
        <w:rPr>
          <w:szCs w:val="18"/>
        </w:rPr>
        <w:t xml:space="preserve">, </w:t>
      </w:r>
      <w:r w:rsidRPr="00094D05">
        <w:rPr>
          <w:i/>
          <w:szCs w:val="18"/>
        </w:rPr>
        <w:t xml:space="preserve">supra </w:t>
      </w:r>
      <w:r w:rsidRPr="00094D05">
        <w:rPr>
          <w:szCs w:val="18"/>
        </w:rPr>
        <w:t xml:space="preserve">note </w:t>
      </w:r>
      <w:r w:rsidRPr="00094D05">
        <w:rPr>
          <w:szCs w:val="18"/>
        </w:rPr>
        <w:fldChar w:fldCharType="begin"/>
      </w:r>
      <w:r w:rsidRPr="00094D05">
        <w:rPr>
          <w:szCs w:val="18"/>
        </w:rPr>
        <w:instrText xml:space="preserve"> NOTEREF _Ref533077001 \h  \* MERGEFORMAT </w:instrText>
      </w:r>
      <w:r w:rsidRPr="00094D05">
        <w:rPr>
          <w:szCs w:val="18"/>
        </w:rPr>
      </w:r>
      <w:r w:rsidRPr="00094D05">
        <w:rPr>
          <w:szCs w:val="18"/>
        </w:rPr>
        <w:fldChar w:fldCharType="separate"/>
      </w:r>
      <w:r w:rsidR="0011560B">
        <w:rPr>
          <w:szCs w:val="18"/>
        </w:rPr>
        <w:t>67</w:t>
      </w:r>
      <w:r w:rsidRPr="00094D05">
        <w:rPr>
          <w:szCs w:val="18"/>
        </w:rPr>
        <w:fldChar w:fldCharType="end"/>
      </w:r>
      <w:r w:rsidRPr="00094D05">
        <w:rPr>
          <w:szCs w:val="18"/>
        </w:rPr>
        <w:t xml:space="preserve"> at 1.</w:t>
      </w:r>
    </w:p>
  </w:footnote>
  <w:footnote w:id="71">
    <w:p w14:paraId="4ACFCB9B" w14:textId="0D7A7500"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w:t>
      </w:r>
      <w:r w:rsidRPr="00094D05">
        <w:rPr>
          <w:i/>
          <w:iCs/>
          <w:szCs w:val="18"/>
        </w:rPr>
        <w:t>E.g.</w:t>
      </w:r>
      <w:r w:rsidRPr="00094D05">
        <w:rPr>
          <w:szCs w:val="18"/>
        </w:rPr>
        <w:t xml:space="preserve">, Cantalupo, </w:t>
      </w:r>
      <w:r w:rsidRPr="00094D05">
        <w:rPr>
          <w:i/>
          <w:iCs/>
          <w:szCs w:val="18"/>
        </w:rPr>
        <w:t xml:space="preserve">supra </w:t>
      </w:r>
      <w:r w:rsidRPr="00094D05">
        <w:rPr>
          <w:szCs w:val="18"/>
        </w:rPr>
        <w:t xml:space="preserve">note </w:t>
      </w:r>
      <w:r w:rsidRPr="00094D05">
        <w:rPr>
          <w:szCs w:val="18"/>
        </w:rPr>
        <w:fldChar w:fldCharType="begin"/>
      </w:r>
      <w:r w:rsidRPr="00094D05">
        <w:rPr>
          <w:szCs w:val="18"/>
        </w:rPr>
        <w:instrText xml:space="preserve"> NOTEREF _Ref533077001 \h  \* MERGEFORMAT </w:instrText>
      </w:r>
      <w:r w:rsidRPr="00094D05">
        <w:rPr>
          <w:szCs w:val="18"/>
        </w:rPr>
      </w:r>
      <w:r w:rsidRPr="00094D05">
        <w:rPr>
          <w:szCs w:val="18"/>
        </w:rPr>
        <w:fldChar w:fldCharType="separate"/>
      </w:r>
      <w:r w:rsidR="0011560B">
        <w:rPr>
          <w:szCs w:val="18"/>
        </w:rPr>
        <w:t>67</w:t>
      </w:r>
      <w:r w:rsidRPr="00094D05">
        <w:rPr>
          <w:szCs w:val="18"/>
        </w:rPr>
        <w:fldChar w:fldCharType="end"/>
      </w:r>
      <w:r w:rsidRPr="00094D05">
        <w:rPr>
          <w:szCs w:val="18"/>
        </w:rPr>
        <w:t xml:space="preserve"> at</w:t>
      </w:r>
      <w:r w:rsidRPr="00094D05">
        <w:rPr>
          <w:smallCaps/>
          <w:szCs w:val="18"/>
        </w:rPr>
        <w:t xml:space="preserve"> 16, 24-29</w:t>
      </w:r>
      <w:r w:rsidRPr="00094D05">
        <w:rPr>
          <w:i/>
          <w:iCs/>
          <w:szCs w:val="18"/>
        </w:rPr>
        <w:t>.</w:t>
      </w:r>
    </w:p>
  </w:footnote>
  <w:footnote w:id="72">
    <w:p w14:paraId="20C2C8A9" w14:textId="77777777"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w:t>
      </w:r>
      <w:r w:rsidRPr="00094D05">
        <w:rPr>
          <w:i/>
          <w:szCs w:val="18"/>
        </w:rPr>
        <w:t>Id.</w:t>
      </w:r>
      <w:r w:rsidRPr="00094D05">
        <w:rPr>
          <w:szCs w:val="18"/>
        </w:rPr>
        <w:t xml:space="preserve"> at 24-25.</w:t>
      </w:r>
    </w:p>
  </w:footnote>
  <w:footnote w:id="73">
    <w:p w14:paraId="6B98BC94" w14:textId="77777777"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U.S. Dep’t of Education, Office for Civil Rights, </w:t>
      </w:r>
      <w:r w:rsidRPr="00094D05">
        <w:rPr>
          <w:i/>
          <w:szCs w:val="18"/>
        </w:rPr>
        <w:t>A First Look: Key Data Highlights on Equity and Opportunity Gaps in Our Nation’s Public Schools</w:t>
      </w:r>
      <w:r w:rsidRPr="00094D05">
        <w:rPr>
          <w:szCs w:val="18"/>
        </w:rPr>
        <w:t>, at 3 (June 7, 2016; last updated Oct. 28, 2016),</w:t>
      </w:r>
      <w:r w:rsidRPr="00094D05">
        <w:rPr>
          <w:i/>
          <w:szCs w:val="18"/>
        </w:rPr>
        <w:t xml:space="preserve"> available at </w:t>
      </w:r>
      <w:r w:rsidRPr="00094D05">
        <w:rPr>
          <w:szCs w:val="18"/>
        </w:rPr>
        <w:t>https://www2.ed.gov/about/offices/list/ocr/docs/2013-14-first-look.pdf.</w:t>
      </w:r>
    </w:p>
  </w:footnote>
  <w:footnote w:id="74">
    <w:p w14:paraId="5D877B04" w14:textId="77777777" w:rsidR="000B2C8D" w:rsidRPr="00094D05" w:rsidRDefault="000B2C8D" w:rsidP="000B2C8D">
      <w:pPr>
        <w:pStyle w:val="FootnoteText"/>
        <w:rPr>
          <w:i/>
          <w:szCs w:val="18"/>
        </w:rPr>
      </w:pPr>
      <w:r w:rsidRPr="00094D05">
        <w:rPr>
          <w:rStyle w:val="FootnoteReference"/>
          <w:szCs w:val="18"/>
        </w:rPr>
        <w:footnoteRef/>
      </w:r>
      <w:r w:rsidRPr="00094D05">
        <w:rPr>
          <w:szCs w:val="18"/>
        </w:rPr>
        <w:t xml:space="preserve"> U.S. Dep’t of Education, Office for Civil Rights, </w:t>
      </w:r>
      <w:r w:rsidRPr="00094D05">
        <w:rPr>
          <w:i/>
          <w:szCs w:val="18"/>
        </w:rPr>
        <w:t>School Climate and Safety: Data Highlights on School Climate and Safety In Our Nation’s Public Schools</w:t>
      </w:r>
      <w:r w:rsidRPr="00094D05">
        <w:rPr>
          <w:szCs w:val="18"/>
        </w:rPr>
        <w:t xml:space="preserve"> (Apr. 2018), </w:t>
      </w:r>
      <w:r w:rsidRPr="00094D05">
        <w:rPr>
          <w:i/>
          <w:szCs w:val="18"/>
        </w:rPr>
        <w:t>available at</w:t>
      </w:r>
    </w:p>
    <w:p w14:paraId="31872F08" w14:textId="77777777" w:rsidR="000B2C8D" w:rsidRPr="00094D05" w:rsidRDefault="000B2C8D" w:rsidP="000B2C8D">
      <w:pPr>
        <w:pStyle w:val="FootnoteText"/>
        <w:rPr>
          <w:szCs w:val="18"/>
        </w:rPr>
      </w:pPr>
      <w:r w:rsidRPr="00094D05">
        <w:rPr>
          <w:szCs w:val="18"/>
        </w:rPr>
        <w:t>https://www2.ed.gov/about/offices/list/ocr/docs/school-climate-and-safety.pdf.</w:t>
      </w:r>
    </w:p>
  </w:footnote>
  <w:footnote w:id="75">
    <w:p w14:paraId="2A2412EF" w14:textId="77777777"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NAACP Legal Defense and Educational Fund, Inc. &amp; National Women’s Law Center, </w:t>
      </w:r>
      <w:r w:rsidRPr="00094D05">
        <w:rPr>
          <w:i/>
          <w:szCs w:val="18"/>
        </w:rPr>
        <w:t>Unlocking Opportunity for African American Girls: A Call to Action for Educational Equity</w:t>
      </w:r>
      <w:r w:rsidRPr="00094D05">
        <w:rPr>
          <w:szCs w:val="18"/>
        </w:rPr>
        <w:t xml:space="preserve"> 5, 18, 20, 25 (2014), </w:t>
      </w:r>
      <w:r w:rsidRPr="00094D05">
        <w:rPr>
          <w:i/>
          <w:szCs w:val="18"/>
        </w:rPr>
        <w:t xml:space="preserve">available at </w:t>
      </w:r>
      <w:r w:rsidRPr="00094D05">
        <w:rPr>
          <w:szCs w:val="18"/>
        </w:rPr>
        <w:t xml:space="preserve">https://nwlc.org/wp-content/uploads/2015/08/unlocking_opportunity_for_african_american_girls_report.pdf. </w:t>
      </w:r>
      <w:r w:rsidRPr="00094D05">
        <w:rPr>
          <w:i/>
          <w:szCs w:val="18"/>
        </w:rPr>
        <w:t xml:space="preserve">See also </w:t>
      </w:r>
      <w:r w:rsidRPr="00094D05">
        <w:rPr>
          <w:szCs w:val="18"/>
        </w:rPr>
        <w:t xml:space="preserve">Sonja C. Tonnesen, </w:t>
      </w:r>
      <w:r w:rsidRPr="00094D05">
        <w:rPr>
          <w:i/>
          <w:szCs w:val="18"/>
        </w:rPr>
        <w:t>Commentary: "Hit It and Quit It": Responses to Black Girls’ Victimization in School</w:t>
      </w:r>
      <w:r w:rsidRPr="00094D05">
        <w:rPr>
          <w:szCs w:val="18"/>
        </w:rPr>
        <w:t xml:space="preserve">, 28 </w:t>
      </w:r>
      <w:r w:rsidRPr="00094D05">
        <w:rPr>
          <w:smallCaps/>
          <w:szCs w:val="18"/>
        </w:rPr>
        <w:t xml:space="preserve">Berkeley J. Gender, L. &amp; Just. 1 </w:t>
      </w:r>
      <w:r w:rsidRPr="00094D05">
        <w:rPr>
          <w:szCs w:val="18"/>
        </w:rPr>
        <w:t xml:space="preserve">(2013), </w:t>
      </w:r>
      <w:r w:rsidRPr="00094D05">
        <w:rPr>
          <w:i/>
          <w:szCs w:val="18"/>
        </w:rPr>
        <w:t xml:space="preserve">available at </w:t>
      </w:r>
      <w:r w:rsidRPr="00094D05">
        <w:rPr>
          <w:szCs w:val="18"/>
        </w:rPr>
        <w:t>http://scholarship.law.berkeley.edu/cgi/viewcontent.cgi?article=1312&amp;context=bglj.</w:t>
      </w:r>
    </w:p>
  </w:footnote>
  <w:footnote w:id="76">
    <w:p w14:paraId="44F72A2C" w14:textId="1BF165AE"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w:t>
      </w:r>
      <w:r w:rsidRPr="00094D05">
        <w:rPr>
          <w:i/>
          <w:szCs w:val="18"/>
        </w:rPr>
        <w:t>Let Her Learn: Pregnant or Parenting Students</w:t>
      </w:r>
      <w:r w:rsidRPr="00094D05">
        <w:rPr>
          <w:szCs w:val="18"/>
        </w:rPr>
        <w:t xml:space="preserve">, </w:t>
      </w:r>
      <w:r w:rsidRPr="00094D05">
        <w:rPr>
          <w:i/>
          <w:szCs w:val="18"/>
        </w:rPr>
        <w:t>supra</w:t>
      </w:r>
      <w:r w:rsidRPr="00094D05">
        <w:rPr>
          <w:szCs w:val="18"/>
        </w:rPr>
        <w:t xml:space="preserve"> note </w:t>
      </w:r>
      <w:r w:rsidRPr="00094D05">
        <w:rPr>
          <w:szCs w:val="18"/>
        </w:rPr>
        <w:fldChar w:fldCharType="begin"/>
      </w:r>
      <w:r w:rsidRPr="00094D05">
        <w:rPr>
          <w:szCs w:val="18"/>
        </w:rPr>
        <w:instrText xml:space="preserve"> NOTEREF _Ref533077231 \h  \* MERGEFORMAT </w:instrText>
      </w:r>
      <w:r w:rsidRPr="00094D05">
        <w:rPr>
          <w:szCs w:val="18"/>
        </w:rPr>
      </w:r>
      <w:r w:rsidRPr="00094D05">
        <w:rPr>
          <w:szCs w:val="18"/>
        </w:rPr>
        <w:fldChar w:fldCharType="separate"/>
      </w:r>
      <w:r w:rsidR="0011560B">
        <w:rPr>
          <w:szCs w:val="18"/>
        </w:rPr>
        <w:t>6</w:t>
      </w:r>
      <w:r w:rsidRPr="00094D05">
        <w:rPr>
          <w:szCs w:val="18"/>
        </w:rPr>
        <w:fldChar w:fldCharType="end"/>
      </w:r>
      <w:r w:rsidRPr="00094D05">
        <w:rPr>
          <w:szCs w:val="18"/>
        </w:rPr>
        <w:t xml:space="preserve"> at 12.</w:t>
      </w:r>
    </w:p>
  </w:footnote>
  <w:footnote w:id="77">
    <w:p w14:paraId="5919C189" w14:textId="4149781A" w:rsidR="000B2C8D" w:rsidRPr="00094D05" w:rsidRDefault="000B2C8D" w:rsidP="000B2C8D">
      <w:pPr>
        <w:pStyle w:val="FootnoteText"/>
        <w:rPr>
          <w:b/>
          <w:szCs w:val="18"/>
        </w:rPr>
      </w:pPr>
      <w:r w:rsidRPr="00094D05">
        <w:rPr>
          <w:rStyle w:val="FootnoteReference"/>
          <w:szCs w:val="18"/>
        </w:rPr>
        <w:footnoteRef/>
      </w:r>
      <w:r w:rsidRPr="00094D05">
        <w:rPr>
          <w:szCs w:val="18"/>
        </w:rPr>
        <w:t xml:space="preserve"> </w:t>
      </w:r>
      <w:r w:rsidRPr="00094D05">
        <w:rPr>
          <w:i/>
          <w:szCs w:val="18"/>
        </w:rPr>
        <w:t>2017 National School Climate Survey</w:t>
      </w:r>
      <w:r w:rsidRPr="00094D05">
        <w:rPr>
          <w:szCs w:val="18"/>
        </w:rPr>
        <w:t xml:space="preserve">, </w:t>
      </w:r>
      <w:r w:rsidRPr="00094D05">
        <w:rPr>
          <w:i/>
          <w:szCs w:val="18"/>
        </w:rPr>
        <w:t xml:space="preserve">supra </w:t>
      </w:r>
      <w:r w:rsidRPr="00094D05">
        <w:rPr>
          <w:szCs w:val="18"/>
        </w:rPr>
        <w:t xml:space="preserve">note </w:t>
      </w:r>
      <w:r w:rsidRPr="00094D05">
        <w:rPr>
          <w:szCs w:val="18"/>
        </w:rPr>
        <w:fldChar w:fldCharType="begin"/>
      </w:r>
      <w:r w:rsidRPr="00094D05">
        <w:rPr>
          <w:szCs w:val="18"/>
        </w:rPr>
        <w:instrText xml:space="preserve"> NOTEREF _Ref533077267 \h  \* MERGEFORMAT </w:instrText>
      </w:r>
      <w:r w:rsidRPr="00094D05">
        <w:rPr>
          <w:szCs w:val="18"/>
        </w:rPr>
      </w:r>
      <w:r w:rsidRPr="00094D05">
        <w:rPr>
          <w:szCs w:val="18"/>
        </w:rPr>
        <w:fldChar w:fldCharType="separate"/>
      </w:r>
      <w:r w:rsidR="0011560B">
        <w:rPr>
          <w:szCs w:val="18"/>
        </w:rPr>
        <w:t>7</w:t>
      </w:r>
      <w:r w:rsidRPr="00094D05">
        <w:rPr>
          <w:szCs w:val="18"/>
        </w:rPr>
        <w:fldChar w:fldCharType="end"/>
      </w:r>
      <w:r w:rsidRPr="00094D05">
        <w:rPr>
          <w:szCs w:val="18"/>
        </w:rPr>
        <w:t xml:space="preserve"> at 26.</w:t>
      </w:r>
    </w:p>
  </w:footnote>
  <w:footnote w:id="78">
    <w:p w14:paraId="4C227FA8" w14:textId="76F6445C"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w:t>
      </w:r>
      <w:r w:rsidRPr="00094D05">
        <w:rPr>
          <w:rFonts w:eastAsia="Times New Roman"/>
          <w:i/>
          <w:szCs w:val="18"/>
        </w:rPr>
        <w:t>AAU Campus Climate Survey</w:t>
      </w:r>
      <w:r w:rsidRPr="00094D05">
        <w:rPr>
          <w:rFonts w:eastAsia="Times New Roman"/>
          <w:szCs w:val="18"/>
        </w:rPr>
        <w:t xml:space="preserve">, </w:t>
      </w:r>
      <w:r w:rsidRPr="00094D05">
        <w:rPr>
          <w:rFonts w:eastAsia="Times New Roman"/>
          <w:i/>
          <w:szCs w:val="18"/>
        </w:rPr>
        <w:t xml:space="preserve">supra </w:t>
      </w:r>
      <w:r w:rsidRPr="00094D05">
        <w:rPr>
          <w:rFonts w:eastAsia="Times New Roman"/>
          <w:szCs w:val="18"/>
        </w:rPr>
        <w:t xml:space="preserve">note </w:t>
      </w:r>
      <w:r w:rsidRPr="00094D05">
        <w:rPr>
          <w:rFonts w:eastAsia="Times New Roman"/>
          <w:szCs w:val="18"/>
        </w:rPr>
        <w:fldChar w:fldCharType="begin"/>
      </w:r>
      <w:r w:rsidRPr="00094D05">
        <w:rPr>
          <w:rFonts w:eastAsia="Times New Roman"/>
          <w:szCs w:val="18"/>
        </w:rPr>
        <w:instrText xml:space="preserve"> NOTEREF _Ref532941039 \h  \* MERGEFORMAT </w:instrText>
      </w:r>
      <w:r w:rsidRPr="00094D05">
        <w:rPr>
          <w:rFonts w:eastAsia="Times New Roman"/>
          <w:szCs w:val="18"/>
        </w:rPr>
      </w:r>
      <w:r w:rsidRPr="00094D05">
        <w:rPr>
          <w:rFonts w:eastAsia="Times New Roman"/>
          <w:szCs w:val="18"/>
        </w:rPr>
        <w:fldChar w:fldCharType="separate"/>
      </w:r>
      <w:r w:rsidR="0011560B">
        <w:rPr>
          <w:rFonts w:eastAsia="Times New Roman"/>
          <w:szCs w:val="18"/>
        </w:rPr>
        <w:t>4</w:t>
      </w:r>
      <w:r w:rsidRPr="00094D05">
        <w:rPr>
          <w:rFonts w:eastAsia="Times New Roman"/>
          <w:szCs w:val="18"/>
        </w:rPr>
        <w:fldChar w:fldCharType="end"/>
      </w:r>
      <w:r w:rsidRPr="00094D05">
        <w:rPr>
          <w:rFonts w:eastAsia="Times New Roman"/>
          <w:szCs w:val="18"/>
        </w:rPr>
        <w:t xml:space="preserve"> at 13-14 (Sept. 2015), </w:t>
      </w:r>
      <w:r w:rsidRPr="00094D05">
        <w:rPr>
          <w:rFonts w:eastAsia="Times New Roman"/>
          <w:i/>
          <w:szCs w:val="18"/>
        </w:rPr>
        <w:t>available at</w:t>
      </w:r>
      <w:r w:rsidRPr="00094D05">
        <w:rPr>
          <w:rFonts w:eastAsia="Times New Roman"/>
          <w:szCs w:val="18"/>
        </w:rPr>
        <w:t xml:space="preserve"> https://www.aau.edu/key-issues/aau-climate-survey-sexual-assault-and-sexual-misconduct-2015.</w:t>
      </w:r>
    </w:p>
  </w:footnote>
  <w:footnote w:id="79">
    <w:p w14:paraId="62883688" w14:textId="5D9C1F08"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w:t>
      </w:r>
      <w:r w:rsidRPr="00094D05">
        <w:rPr>
          <w:i/>
          <w:szCs w:val="18"/>
        </w:rPr>
        <w:t>2015 U.S. Transgender Survey</w:t>
      </w:r>
      <w:r w:rsidRPr="00094D05">
        <w:rPr>
          <w:szCs w:val="18"/>
        </w:rPr>
        <w:t xml:space="preserve">, </w:t>
      </w:r>
      <w:r w:rsidRPr="00094D05">
        <w:rPr>
          <w:i/>
          <w:szCs w:val="18"/>
        </w:rPr>
        <w:t xml:space="preserve">supra </w:t>
      </w:r>
      <w:r w:rsidRPr="00094D05">
        <w:rPr>
          <w:szCs w:val="18"/>
        </w:rPr>
        <w:t xml:space="preserve">note </w:t>
      </w:r>
      <w:r w:rsidRPr="00094D05">
        <w:rPr>
          <w:szCs w:val="18"/>
        </w:rPr>
        <w:fldChar w:fldCharType="begin"/>
      </w:r>
      <w:r w:rsidRPr="00094D05">
        <w:rPr>
          <w:szCs w:val="18"/>
        </w:rPr>
        <w:instrText xml:space="preserve"> NOTEREF _Ref533077344 \h  \* MERGEFORMAT </w:instrText>
      </w:r>
      <w:r w:rsidRPr="00094D05">
        <w:rPr>
          <w:szCs w:val="18"/>
        </w:rPr>
      </w:r>
      <w:r w:rsidRPr="00094D05">
        <w:rPr>
          <w:szCs w:val="18"/>
        </w:rPr>
        <w:fldChar w:fldCharType="separate"/>
      </w:r>
      <w:r w:rsidR="0011560B">
        <w:rPr>
          <w:szCs w:val="18"/>
        </w:rPr>
        <w:t>18</w:t>
      </w:r>
      <w:r w:rsidRPr="00094D05">
        <w:rPr>
          <w:szCs w:val="18"/>
        </w:rPr>
        <w:fldChar w:fldCharType="end"/>
      </w:r>
      <w:r w:rsidRPr="00094D05">
        <w:rPr>
          <w:szCs w:val="18"/>
        </w:rPr>
        <w:t xml:space="preserve"> at 12.</w:t>
      </w:r>
    </w:p>
  </w:footnote>
  <w:footnote w:id="80">
    <w:p w14:paraId="1EA0EBD4" w14:textId="77777777"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83 Fed. Reg. 61483.</w:t>
      </w:r>
    </w:p>
  </w:footnote>
  <w:footnote w:id="81">
    <w:p w14:paraId="1E83F77D" w14:textId="6999F783"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w:t>
      </w:r>
      <w:r w:rsidRPr="00094D05">
        <w:rPr>
          <w:i/>
          <w:szCs w:val="18"/>
        </w:rPr>
        <w:t xml:space="preserve">Let Her Learn: </w:t>
      </w:r>
      <w:r>
        <w:rPr>
          <w:i/>
          <w:szCs w:val="18"/>
        </w:rPr>
        <w:t>Girls</w:t>
      </w:r>
      <w:r w:rsidRPr="00094D05">
        <w:rPr>
          <w:i/>
          <w:szCs w:val="18"/>
        </w:rPr>
        <w:t xml:space="preserve"> with Disabilities</w:t>
      </w:r>
      <w:r w:rsidRPr="00094D05">
        <w:rPr>
          <w:szCs w:val="18"/>
        </w:rPr>
        <w:t xml:space="preserve">, </w:t>
      </w:r>
      <w:r w:rsidRPr="00094D05">
        <w:rPr>
          <w:i/>
          <w:szCs w:val="18"/>
        </w:rPr>
        <w:t>supra</w:t>
      </w:r>
      <w:r w:rsidRPr="00094D05">
        <w:rPr>
          <w:szCs w:val="18"/>
        </w:rPr>
        <w:t xml:space="preserve"> note </w:t>
      </w:r>
      <w:r w:rsidRPr="00094D05">
        <w:rPr>
          <w:szCs w:val="18"/>
        </w:rPr>
        <w:fldChar w:fldCharType="begin"/>
      </w:r>
      <w:r w:rsidRPr="00094D05">
        <w:rPr>
          <w:szCs w:val="18"/>
        </w:rPr>
        <w:instrText xml:space="preserve"> NOTEREF _Ref532941816 \h  \* MERGEFORMAT </w:instrText>
      </w:r>
      <w:r w:rsidRPr="00094D05">
        <w:rPr>
          <w:szCs w:val="18"/>
        </w:rPr>
      </w:r>
      <w:r w:rsidRPr="00094D05">
        <w:rPr>
          <w:szCs w:val="18"/>
        </w:rPr>
        <w:fldChar w:fldCharType="separate"/>
      </w:r>
      <w:r w:rsidR="0011560B">
        <w:rPr>
          <w:szCs w:val="18"/>
        </w:rPr>
        <w:t>9</w:t>
      </w:r>
      <w:r w:rsidRPr="00094D05">
        <w:rPr>
          <w:szCs w:val="18"/>
        </w:rPr>
        <w:fldChar w:fldCharType="end"/>
      </w:r>
      <w:r w:rsidRPr="00094D05">
        <w:rPr>
          <w:szCs w:val="18"/>
        </w:rPr>
        <w:t xml:space="preserve"> at 7.</w:t>
      </w:r>
    </w:p>
  </w:footnote>
  <w:footnote w:id="82">
    <w:p w14:paraId="47BA3739" w14:textId="77777777"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w:t>
      </w:r>
      <w:r w:rsidRPr="00094D05">
        <w:rPr>
          <w:i/>
          <w:szCs w:val="18"/>
        </w:rPr>
        <w:t>E.g.</w:t>
      </w:r>
      <w:r w:rsidRPr="00094D05">
        <w:rPr>
          <w:szCs w:val="18"/>
        </w:rPr>
        <w:t xml:space="preserve">, Angela Browne, et al., </w:t>
      </w:r>
      <w:r w:rsidRPr="00094D05">
        <w:rPr>
          <w:i/>
          <w:szCs w:val="18"/>
        </w:rPr>
        <w:t>Examining Criminal Justice Responses to and Help-Seeking Patterns of Sexual Violence Survivors with Disabilities</w:t>
      </w:r>
      <w:r w:rsidRPr="00094D05">
        <w:rPr>
          <w:szCs w:val="18"/>
        </w:rPr>
        <w:t xml:space="preserve"> 11, 14-15 (2016), </w:t>
      </w:r>
      <w:r w:rsidRPr="00094D05">
        <w:rPr>
          <w:i/>
          <w:szCs w:val="18"/>
        </w:rPr>
        <w:t xml:space="preserve">available at </w:t>
      </w:r>
      <w:r w:rsidRPr="00094D05">
        <w:rPr>
          <w:szCs w:val="18"/>
        </w:rPr>
        <w:t>https://www.nij.gov/topics/crime/rape-sexual-violence/Pages/challenges-facing-sexual-assault-survivors-with-disabilities.aspx.</w:t>
      </w:r>
    </w:p>
  </w:footnote>
  <w:footnote w:id="83">
    <w:p w14:paraId="4DE5641E" w14:textId="77777777"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34 C.F.R. § 106.8(b).</w:t>
      </w:r>
    </w:p>
  </w:footnote>
  <w:footnote w:id="84">
    <w:p w14:paraId="743EA7A4" w14:textId="77777777"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Proposed rules §§ 106.8(c) and 106.45(b).</w:t>
      </w:r>
    </w:p>
  </w:footnote>
  <w:footnote w:id="85">
    <w:p w14:paraId="22B22921" w14:textId="77777777"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Zydervelt, S., Zajac, R., Kaladelfos, A. and Westera, N., </w:t>
      </w:r>
      <w:r w:rsidRPr="00094D05">
        <w:rPr>
          <w:i/>
          <w:szCs w:val="18"/>
        </w:rPr>
        <w:t>Lawyers’ Strategies for Cross-Examining Rape Complainants: Have we Moved Beyond the 1950s?</w:t>
      </w:r>
      <w:r w:rsidRPr="00094D05">
        <w:rPr>
          <w:szCs w:val="18"/>
        </w:rPr>
        <w:t xml:space="preserve">, </w:t>
      </w:r>
      <w:r w:rsidRPr="00094D05">
        <w:rPr>
          <w:smallCaps/>
          <w:szCs w:val="18"/>
        </w:rPr>
        <w:t>British Journal of Criminology</w:t>
      </w:r>
      <w:r w:rsidRPr="00094D05">
        <w:rPr>
          <w:szCs w:val="18"/>
        </w:rPr>
        <w:t xml:space="preserve">, 57(3), 551-569 (2016). </w:t>
      </w:r>
    </w:p>
  </w:footnote>
  <w:footnote w:id="86">
    <w:p w14:paraId="27E095DB" w14:textId="77777777"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Of course, private schools are not impacted by Constitutional due process requirements.</w:t>
      </w:r>
    </w:p>
  </w:footnote>
  <w:footnote w:id="87">
    <w:p w14:paraId="6DE1B53E" w14:textId="77777777"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w:t>
      </w:r>
      <w:r w:rsidRPr="00094D05">
        <w:rPr>
          <w:i/>
          <w:szCs w:val="18"/>
        </w:rPr>
        <w:t>Goss</w:t>
      </w:r>
      <w:r w:rsidRPr="00094D05">
        <w:rPr>
          <w:szCs w:val="18"/>
        </w:rPr>
        <w:t xml:space="preserve">, 419 U.S. at 583. </w:t>
      </w:r>
      <w:r w:rsidRPr="00094D05">
        <w:rPr>
          <w:i/>
          <w:iCs/>
          <w:szCs w:val="18"/>
        </w:rPr>
        <w:t xml:space="preserve">See also </w:t>
      </w:r>
      <w:r w:rsidRPr="00094D05">
        <w:rPr>
          <w:i/>
          <w:szCs w:val="18"/>
        </w:rPr>
        <w:t>Coplin</w:t>
      </w:r>
      <w:r w:rsidRPr="00094D05">
        <w:rPr>
          <w:szCs w:val="18"/>
        </w:rPr>
        <w:t xml:space="preserve">, 903 F. Supp. at 1383; </w:t>
      </w:r>
      <w:r w:rsidRPr="00094D05">
        <w:rPr>
          <w:i/>
          <w:szCs w:val="18"/>
        </w:rPr>
        <w:t>Fellheimer</w:t>
      </w:r>
      <w:r w:rsidRPr="00094D05">
        <w:rPr>
          <w:szCs w:val="18"/>
        </w:rPr>
        <w:t>, 869 F. Supp. at 247.</w:t>
      </w:r>
    </w:p>
  </w:footnote>
  <w:footnote w:id="88">
    <w:p w14:paraId="06F2FEB1" w14:textId="77777777" w:rsidR="000B2C8D" w:rsidRPr="00094D05" w:rsidRDefault="000B2C8D" w:rsidP="000B2C8D">
      <w:pPr>
        <w:pStyle w:val="FootnoteText"/>
        <w:rPr>
          <w:i/>
          <w:szCs w:val="18"/>
        </w:rPr>
      </w:pPr>
      <w:r w:rsidRPr="00094D05">
        <w:rPr>
          <w:rStyle w:val="FootnoteReference"/>
          <w:szCs w:val="18"/>
        </w:rPr>
        <w:footnoteRef/>
      </w:r>
      <w:r w:rsidRPr="00094D05">
        <w:rPr>
          <w:szCs w:val="18"/>
        </w:rPr>
        <w:t xml:space="preserve"> </w:t>
      </w:r>
      <w:r w:rsidRPr="00094D05">
        <w:rPr>
          <w:i/>
          <w:szCs w:val="18"/>
        </w:rPr>
        <w:t>E.g.</w:t>
      </w:r>
      <w:r w:rsidRPr="00094D05">
        <w:rPr>
          <w:szCs w:val="18"/>
        </w:rPr>
        <w:t xml:space="preserve">, </w:t>
      </w:r>
      <w:r w:rsidRPr="00094D05">
        <w:rPr>
          <w:i/>
          <w:szCs w:val="18"/>
        </w:rPr>
        <w:t>Dixon</w:t>
      </w:r>
      <w:r w:rsidRPr="00094D05">
        <w:rPr>
          <w:szCs w:val="18"/>
        </w:rPr>
        <w:t xml:space="preserve">, 294 F.2d at 158, </w:t>
      </w:r>
      <w:r w:rsidRPr="00094D05">
        <w:rPr>
          <w:i/>
          <w:szCs w:val="18"/>
        </w:rPr>
        <w:t>cert. denied</w:t>
      </w:r>
      <w:r w:rsidRPr="00094D05">
        <w:rPr>
          <w:szCs w:val="18"/>
        </w:rPr>
        <w:t xml:space="preserve">, 368 U.S. 930 (1961). </w:t>
      </w:r>
      <w:r w:rsidRPr="00094D05">
        <w:rPr>
          <w:i/>
          <w:szCs w:val="18"/>
        </w:rPr>
        <w:t>See also Osteen v. Henley</w:t>
      </w:r>
      <w:r w:rsidRPr="00094D05">
        <w:rPr>
          <w:szCs w:val="18"/>
        </w:rPr>
        <w:t>, 13 F.3d 221, 225 (7th Cir. 1993) (holding no due process violation in expulsion of college student without providing him to right to cross-examination).</w:t>
      </w:r>
    </w:p>
  </w:footnote>
  <w:footnote w:id="89">
    <w:p w14:paraId="332186D2" w14:textId="29AE6600"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w:t>
      </w:r>
      <w:r w:rsidRPr="00094D05">
        <w:rPr>
          <w:i/>
          <w:iCs/>
          <w:szCs w:val="18"/>
        </w:rPr>
        <w:t>See A Sharp Backward Turn</w:t>
      </w:r>
      <w:r w:rsidRPr="00094D05">
        <w:rPr>
          <w:iCs/>
          <w:szCs w:val="18"/>
        </w:rPr>
        <w:t xml:space="preserve">, </w:t>
      </w:r>
      <w:r w:rsidRPr="00094D05">
        <w:rPr>
          <w:i/>
          <w:iCs/>
          <w:szCs w:val="18"/>
        </w:rPr>
        <w:t xml:space="preserve">supra </w:t>
      </w:r>
      <w:r w:rsidRPr="00094D05">
        <w:rPr>
          <w:iCs/>
          <w:szCs w:val="18"/>
        </w:rPr>
        <w:t xml:space="preserve">note </w:t>
      </w:r>
      <w:r w:rsidRPr="00094D05">
        <w:rPr>
          <w:iCs/>
          <w:szCs w:val="18"/>
        </w:rPr>
        <w:fldChar w:fldCharType="begin"/>
      </w:r>
      <w:r w:rsidRPr="00094D05">
        <w:rPr>
          <w:iCs/>
          <w:szCs w:val="18"/>
        </w:rPr>
        <w:instrText xml:space="preserve"> NOTEREF _Ref533077744 \h  \* MERGEFORMAT </w:instrText>
      </w:r>
      <w:r w:rsidRPr="00094D05">
        <w:rPr>
          <w:iCs/>
          <w:szCs w:val="18"/>
        </w:rPr>
      </w:r>
      <w:r w:rsidRPr="00094D05">
        <w:rPr>
          <w:iCs/>
          <w:szCs w:val="18"/>
        </w:rPr>
        <w:fldChar w:fldCharType="separate"/>
      </w:r>
      <w:r w:rsidR="0011560B">
        <w:rPr>
          <w:iCs/>
          <w:szCs w:val="18"/>
        </w:rPr>
        <w:t>41</w:t>
      </w:r>
      <w:r w:rsidRPr="00094D05">
        <w:rPr>
          <w:iCs/>
          <w:szCs w:val="18"/>
        </w:rPr>
        <w:fldChar w:fldCharType="end"/>
      </w:r>
      <w:r w:rsidRPr="00094D05">
        <w:rPr>
          <w:i/>
          <w:iCs/>
          <w:szCs w:val="18"/>
        </w:rPr>
        <w:t xml:space="preserve"> </w:t>
      </w:r>
      <w:r w:rsidRPr="00094D05">
        <w:rPr>
          <w:szCs w:val="18"/>
        </w:rPr>
        <w:t>(</w:t>
      </w:r>
      <w:r w:rsidRPr="00094D05">
        <w:rPr>
          <w:i/>
          <w:iCs/>
          <w:szCs w:val="18"/>
        </w:rPr>
        <w:t xml:space="preserve">Baum </w:t>
      </w:r>
      <w:r w:rsidRPr="00094D05">
        <w:rPr>
          <w:szCs w:val="18"/>
        </w:rPr>
        <w:t>“is anomalous.”).</w:t>
      </w:r>
    </w:p>
  </w:footnote>
  <w:footnote w:id="90">
    <w:p w14:paraId="283DFACF" w14:textId="77777777"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w:t>
      </w:r>
      <w:r w:rsidRPr="00094D05">
        <w:rPr>
          <w:rFonts w:eastAsia="Times New Roman"/>
          <w:color w:val="000000"/>
          <w:szCs w:val="18"/>
        </w:rPr>
        <w:t>83 Fed. Reg. 61476.</w:t>
      </w:r>
    </w:p>
  </w:footnote>
  <w:footnote w:id="91">
    <w:p w14:paraId="6CCBACD7" w14:textId="77777777"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Association of Title IX Administrators, </w:t>
      </w:r>
      <w:r w:rsidRPr="00094D05">
        <w:rPr>
          <w:i/>
          <w:szCs w:val="18"/>
        </w:rPr>
        <w:t>ATIXA Position Statement on Cross-Examining: The Urge to Transform College Conduct Proceedings into Courtrooms</w:t>
      </w:r>
      <w:r w:rsidRPr="00094D05">
        <w:rPr>
          <w:szCs w:val="18"/>
        </w:rPr>
        <w:t xml:space="preserve"> 1 (Oct. 5, 2018), </w:t>
      </w:r>
      <w:r w:rsidRPr="00094D05">
        <w:rPr>
          <w:i/>
          <w:szCs w:val="18"/>
        </w:rPr>
        <w:t xml:space="preserve">available at </w:t>
      </w:r>
      <w:r w:rsidRPr="00094D05">
        <w:rPr>
          <w:szCs w:val="18"/>
        </w:rPr>
        <w:t>https://atixa.org/wordpress/wp-content/uploads/2018/10/ATIXA-Position-Statement_Cross-Examination-final.pdf.</w:t>
      </w:r>
    </w:p>
  </w:footnote>
  <w:footnote w:id="92">
    <w:p w14:paraId="5CB2A58C" w14:textId="6ABA66C0" w:rsidR="000B2C8D" w:rsidRPr="00094D05" w:rsidRDefault="000B2C8D" w:rsidP="000B2C8D">
      <w:pPr>
        <w:pStyle w:val="FootnoteText"/>
        <w:rPr>
          <w:szCs w:val="18"/>
        </w:rPr>
      </w:pPr>
      <w:r w:rsidRPr="00094D05">
        <w:rPr>
          <w:rStyle w:val="FootnoteReference"/>
          <w:szCs w:val="18"/>
        </w:rPr>
        <w:footnoteRef/>
      </w:r>
      <w:r w:rsidRPr="00094D05">
        <w:rPr>
          <w:i/>
          <w:szCs w:val="18"/>
        </w:rPr>
        <w:t>ASCA 2014 White Paper</w:t>
      </w:r>
      <w:r w:rsidRPr="00094D05">
        <w:rPr>
          <w:szCs w:val="18"/>
        </w:rPr>
        <w:t xml:space="preserve">, </w:t>
      </w:r>
      <w:r w:rsidRPr="00094D05">
        <w:rPr>
          <w:i/>
          <w:szCs w:val="18"/>
        </w:rPr>
        <w:t>supra</w:t>
      </w:r>
      <w:r w:rsidRPr="00094D05">
        <w:rPr>
          <w:szCs w:val="18"/>
        </w:rPr>
        <w:t xml:space="preserve"> note </w:t>
      </w:r>
      <w:r w:rsidRPr="00094D05">
        <w:rPr>
          <w:szCs w:val="18"/>
        </w:rPr>
        <w:fldChar w:fldCharType="begin"/>
      </w:r>
      <w:r w:rsidRPr="00094D05">
        <w:rPr>
          <w:szCs w:val="18"/>
        </w:rPr>
        <w:instrText xml:space="preserve"> NOTEREF _Ref533077789 \h  \* MERGEFORMAT </w:instrText>
      </w:r>
      <w:r w:rsidRPr="00094D05">
        <w:rPr>
          <w:szCs w:val="18"/>
        </w:rPr>
      </w:r>
      <w:r w:rsidRPr="00094D05">
        <w:rPr>
          <w:szCs w:val="18"/>
        </w:rPr>
        <w:fldChar w:fldCharType="separate"/>
      </w:r>
      <w:r w:rsidR="0011560B">
        <w:rPr>
          <w:szCs w:val="18"/>
        </w:rPr>
        <w:t>52</w:t>
      </w:r>
      <w:r w:rsidRPr="00094D05">
        <w:rPr>
          <w:szCs w:val="18"/>
        </w:rPr>
        <w:fldChar w:fldCharType="end"/>
      </w:r>
      <w:r w:rsidRPr="00094D05">
        <w:rPr>
          <w:szCs w:val="18"/>
        </w:rPr>
        <w:t xml:space="preserve"> at 2 (2014).</w:t>
      </w:r>
    </w:p>
  </w:footnote>
  <w:footnote w:id="93">
    <w:p w14:paraId="4C85C5FF" w14:textId="77777777"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American Bar Association, </w:t>
      </w:r>
      <w:r w:rsidRPr="00094D05">
        <w:rPr>
          <w:i/>
          <w:szCs w:val="18"/>
        </w:rPr>
        <w:t>ABA Criminal Justice Section Task Force On College Due Process Rights and Victim Protections:</w:t>
      </w:r>
      <w:r w:rsidRPr="00094D05">
        <w:rPr>
          <w:szCs w:val="18"/>
        </w:rPr>
        <w:t xml:space="preserve"> </w:t>
      </w:r>
      <w:r w:rsidRPr="00094D05">
        <w:rPr>
          <w:i/>
          <w:szCs w:val="18"/>
        </w:rPr>
        <w:t>Recommendations for Colleges and Universities in Resolving Allegations of Campus Sexual Misconduct</w:t>
      </w:r>
      <w:r w:rsidRPr="00094D05">
        <w:rPr>
          <w:szCs w:val="18"/>
        </w:rPr>
        <w:t xml:space="preserve"> 8-10 (June 2017).</w:t>
      </w:r>
    </w:p>
  </w:footnote>
  <w:footnote w:id="94">
    <w:p w14:paraId="4309B52F" w14:textId="77777777"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NASPA -</w:t>
      </w:r>
      <w:r w:rsidRPr="00094D05">
        <w:rPr>
          <w:rFonts w:eastAsia="Times New Roman"/>
          <w:color w:val="000000"/>
          <w:szCs w:val="18"/>
        </w:rPr>
        <w:t xml:space="preserve"> Student Affairs Administrators in Higher Education</w:t>
      </w:r>
      <w:r w:rsidRPr="00094D05">
        <w:rPr>
          <w:szCs w:val="18"/>
        </w:rPr>
        <w:t xml:space="preserve">, </w:t>
      </w:r>
      <w:r w:rsidRPr="00094D05">
        <w:rPr>
          <w:i/>
          <w:szCs w:val="18"/>
        </w:rPr>
        <w:t>NASPA Priorities for Title IX: Sexual Violence Prevention &amp; Response</w:t>
      </w:r>
      <w:r w:rsidRPr="00094D05">
        <w:rPr>
          <w:szCs w:val="18"/>
        </w:rPr>
        <w:t xml:space="preserve"> 1-2 [hereinafter </w:t>
      </w:r>
      <w:r w:rsidRPr="00094D05">
        <w:rPr>
          <w:i/>
          <w:szCs w:val="18"/>
        </w:rPr>
        <w:t>NASPA Title IX Priorities</w:t>
      </w:r>
      <w:r w:rsidRPr="00094D05">
        <w:rPr>
          <w:szCs w:val="18"/>
        </w:rPr>
        <w:t xml:space="preserve">], </w:t>
      </w:r>
      <w:r w:rsidRPr="00094D05">
        <w:rPr>
          <w:i/>
          <w:szCs w:val="18"/>
        </w:rPr>
        <w:t>available at</w:t>
      </w:r>
      <w:r w:rsidRPr="00094D05">
        <w:rPr>
          <w:szCs w:val="18"/>
        </w:rPr>
        <w:t xml:space="preserve"> https://www.naspa.org/images/uploads/main/NASPA_Priorities_re_Title_IX_Sexual_Assault_FINAL.pdf.</w:t>
      </w:r>
    </w:p>
  </w:footnote>
  <w:footnote w:id="95">
    <w:p w14:paraId="667894FA" w14:textId="77777777"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The Department has required schools to use the preponderance standard in Title IX investigations since as early as 1995 and throughout both Republican and Democratic administrations. For example, its April 1995 letter to Evergreen State College concluded that its use of the clear and convincing standard “adhere[d] to a heavier burden of proof than that which is required under Title IX” and that the College was “not in compliance with Title IX.” U.S. Dep’t of Educ., Office for Civil Rights, </w:t>
      </w:r>
      <w:r w:rsidRPr="00094D05">
        <w:rPr>
          <w:i/>
          <w:szCs w:val="18"/>
        </w:rPr>
        <w:t xml:space="preserve">Letter from Gary Jackson, Regional Civil Rights Director, Region X, to Jane Jervis, President, The Evergreen State College </w:t>
      </w:r>
      <w:r w:rsidRPr="00094D05">
        <w:rPr>
          <w:szCs w:val="18"/>
        </w:rPr>
        <w:t xml:space="preserve">(Apr. 4, 1995), at 8, available at http://www2.ed.gov/policy/gen/leg/foia/misc-docs/ed_ehd_1995.pdf. Similarly, </w:t>
      </w:r>
      <w:r>
        <w:rPr>
          <w:szCs w:val="18"/>
        </w:rPr>
        <w:t>the Department</w:t>
      </w:r>
      <w:r w:rsidRPr="00094D05">
        <w:rPr>
          <w:szCs w:val="18"/>
        </w:rPr>
        <w:t xml:space="preserve">’s October 2003 letter to Georgetown University reiterated that “in order for a recipient’s sexual harassment grievance procedures to be consistent with Title IX standards, the recipient must … us[e] a preponderance of the evidence standard.” U.S. Dep’t of Educ., Office for Civil Rights, </w:t>
      </w:r>
      <w:r w:rsidRPr="00094D05">
        <w:rPr>
          <w:i/>
          <w:szCs w:val="18"/>
        </w:rPr>
        <w:t>Letter from Howard Kallem, Chief Attorney, D.C. Enforcement Office, to Jane E. Genster, Vice President and General Counsel, Georgetown University</w:t>
      </w:r>
      <w:r w:rsidRPr="00094D05">
        <w:rPr>
          <w:szCs w:val="18"/>
        </w:rPr>
        <w:t xml:space="preserve"> (Oct. 16, 2003), at 1, available at http://www.ncherm.org/documents/202-GeorgetownUniversity--110302017Genster.pdf.</w:t>
      </w:r>
    </w:p>
  </w:footnote>
  <w:footnote w:id="96">
    <w:p w14:paraId="3AF830E8" w14:textId="77777777"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Proposed rule § 106.45(b)(4)(i) permits schools to use the preponderance standard </w:t>
      </w:r>
      <w:r w:rsidRPr="00094D05">
        <w:rPr>
          <w:i/>
          <w:szCs w:val="18"/>
        </w:rPr>
        <w:t xml:space="preserve">only if </w:t>
      </w:r>
      <w:r w:rsidRPr="00094D05">
        <w:rPr>
          <w:szCs w:val="18"/>
        </w:rPr>
        <w:t xml:space="preserve">it uses that standard for all other student misconduct cases that carry the same maximum sanction </w:t>
      </w:r>
      <w:r w:rsidRPr="00094D05">
        <w:rPr>
          <w:i/>
          <w:szCs w:val="18"/>
        </w:rPr>
        <w:t xml:space="preserve">and </w:t>
      </w:r>
      <w:r w:rsidRPr="00094D05">
        <w:rPr>
          <w:szCs w:val="18"/>
        </w:rPr>
        <w:t xml:space="preserve">for all cases against employees. This is a one-way ratchet: a school would be permitted to use the higher clear and convincing evidence standard in sexual assault cases, while using a lower standard in all other cases. </w:t>
      </w:r>
    </w:p>
  </w:footnote>
  <w:footnote w:id="97">
    <w:p w14:paraId="5E79184F" w14:textId="2FCE2E9E"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w:t>
      </w:r>
      <w:r w:rsidRPr="00094D05">
        <w:rPr>
          <w:i/>
          <w:iCs/>
          <w:szCs w:val="18"/>
        </w:rPr>
        <w:t>E.g.</w:t>
      </w:r>
      <w:r w:rsidRPr="00094D05">
        <w:rPr>
          <w:szCs w:val="18"/>
        </w:rPr>
        <w:t xml:space="preserve">, Kingkade, </w:t>
      </w:r>
      <w:r w:rsidRPr="00094D05">
        <w:rPr>
          <w:i/>
          <w:iCs/>
          <w:szCs w:val="18"/>
        </w:rPr>
        <w:t>supra</w:t>
      </w:r>
      <w:r w:rsidRPr="00094D05">
        <w:rPr>
          <w:iCs/>
          <w:szCs w:val="18"/>
        </w:rPr>
        <w:t xml:space="preserve"> note </w:t>
      </w:r>
      <w:r w:rsidRPr="00094D05">
        <w:rPr>
          <w:iCs/>
          <w:szCs w:val="18"/>
        </w:rPr>
        <w:fldChar w:fldCharType="begin"/>
      </w:r>
      <w:r w:rsidRPr="00094D05">
        <w:rPr>
          <w:iCs/>
          <w:szCs w:val="18"/>
        </w:rPr>
        <w:instrText xml:space="preserve"> NOTEREF _Ref533076636 \h  \* MERGEFORMAT </w:instrText>
      </w:r>
      <w:r w:rsidRPr="00094D05">
        <w:rPr>
          <w:iCs/>
          <w:szCs w:val="18"/>
        </w:rPr>
      </w:r>
      <w:r w:rsidRPr="00094D05">
        <w:rPr>
          <w:iCs/>
          <w:szCs w:val="18"/>
        </w:rPr>
        <w:fldChar w:fldCharType="separate"/>
      </w:r>
      <w:r w:rsidR="0011560B">
        <w:rPr>
          <w:iCs/>
          <w:szCs w:val="18"/>
        </w:rPr>
        <w:t>5</w:t>
      </w:r>
      <w:r w:rsidRPr="00094D05">
        <w:rPr>
          <w:iCs/>
          <w:szCs w:val="18"/>
        </w:rPr>
        <w:fldChar w:fldCharType="end"/>
      </w:r>
      <w:r w:rsidRPr="00094D05">
        <w:rPr>
          <w:iCs/>
          <w:szCs w:val="18"/>
        </w:rPr>
        <w:t>.</w:t>
      </w:r>
    </w:p>
  </w:footnote>
  <w:footnote w:id="98">
    <w:p w14:paraId="66A67B58" w14:textId="77777777"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Katharine Baker et al., </w:t>
      </w:r>
      <w:r w:rsidRPr="00094D05">
        <w:rPr>
          <w:i/>
          <w:iCs/>
          <w:szCs w:val="18"/>
        </w:rPr>
        <w:t>Title IX &amp; the Preponderance of the Evidence: A White Paper</w:t>
      </w:r>
      <w:r w:rsidRPr="00094D05">
        <w:rPr>
          <w:szCs w:val="18"/>
        </w:rPr>
        <w:t xml:space="preserve"> (July 18, 2017), </w:t>
      </w:r>
      <w:r w:rsidRPr="00094D05">
        <w:rPr>
          <w:i/>
          <w:iCs/>
          <w:szCs w:val="18"/>
        </w:rPr>
        <w:t xml:space="preserve">available at </w:t>
      </w:r>
      <w:r w:rsidRPr="00094D05">
        <w:rPr>
          <w:szCs w:val="18"/>
        </w:rPr>
        <w:t>http://www.feministlawprofessors.com/wp-content/uploads/2017/07/Title-IX-Preponderance-White-Paper-signed-7.18.17-2.pdf (signed by 90 law professors).</w:t>
      </w:r>
    </w:p>
  </w:footnote>
  <w:footnote w:id="99">
    <w:p w14:paraId="1BD6C759" w14:textId="77777777"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w:t>
      </w:r>
      <w:r w:rsidRPr="00094D05">
        <w:rPr>
          <w:rFonts w:eastAsia="Times New Roman"/>
          <w:color w:val="000000"/>
          <w:szCs w:val="18"/>
        </w:rPr>
        <w:t>83 Fed. Reg. 61477.</w:t>
      </w:r>
    </w:p>
  </w:footnote>
  <w:footnote w:id="100">
    <w:p w14:paraId="19AA55C9" w14:textId="77777777" w:rsidR="000B2C8D" w:rsidRPr="00094D05" w:rsidRDefault="000B2C8D" w:rsidP="000B2C8D">
      <w:pPr>
        <w:pStyle w:val="FootnoteText"/>
        <w:adjustRightInd w:val="0"/>
        <w:snapToGrid w:val="0"/>
        <w:contextualSpacing/>
        <w:rPr>
          <w:szCs w:val="18"/>
        </w:rPr>
      </w:pPr>
      <w:r w:rsidRPr="00094D05">
        <w:rPr>
          <w:rStyle w:val="FootnoteReference"/>
          <w:szCs w:val="18"/>
        </w:rPr>
        <w:footnoteRef/>
      </w:r>
      <w:r w:rsidRPr="00094D05">
        <w:rPr>
          <w:szCs w:val="18"/>
        </w:rPr>
        <w:t xml:space="preserve"> Cecilia Mengo &amp; Beverly M. Black, </w:t>
      </w:r>
      <w:r w:rsidRPr="00094D05">
        <w:rPr>
          <w:i/>
          <w:szCs w:val="18"/>
        </w:rPr>
        <w:t>Violence Victimization on a College Campus: Impact on GPA and School Dropout</w:t>
      </w:r>
      <w:r w:rsidRPr="00094D05">
        <w:rPr>
          <w:szCs w:val="18"/>
        </w:rPr>
        <w:t xml:space="preserve">, 18(2) </w:t>
      </w:r>
      <w:r w:rsidRPr="00094D05">
        <w:rPr>
          <w:smallCaps/>
          <w:szCs w:val="18"/>
        </w:rPr>
        <w:t>J.C. Student Retention: Res., Theory &amp; Prac</w:t>
      </w:r>
      <w:r w:rsidRPr="00094D05">
        <w:rPr>
          <w:szCs w:val="18"/>
        </w:rPr>
        <w:t xml:space="preserve">. 234, 244 (2015), </w:t>
      </w:r>
      <w:r w:rsidRPr="00094D05">
        <w:rPr>
          <w:i/>
          <w:szCs w:val="18"/>
        </w:rPr>
        <w:t xml:space="preserve">available at </w:t>
      </w:r>
      <w:r w:rsidRPr="00094D05">
        <w:rPr>
          <w:szCs w:val="18"/>
        </w:rPr>
        <w:t>https://doi.org/10.1177/1521025115584750.</w:t>
      </w:r>
    </w:p>
  </w:footnote>
  <w:footnote w:id="101">
    <w:p w14:paraId="36A9B931" w14:textId="77777777"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Heather M. Karjane, et al., </w:t>
      </w:r>
      <w:r w:rsidRPr="00094D05">
        <w:rPr>
          <w:i/>
          <w:szCs w:val="18"/>
        </w:rPr>
        <w:t>Campus Sexual Assault: How America’s Institutions of Higher Education Respond</w:t>
      </w:r>
      <w:r w:rsidRPr="00094D05">
        <w:rPr>
          <w:szCs w:val="18"/>
        </w:rPr>
        <w:t xml:space="preserve"> 120 (Oct. 2002), </w:t>
      </w:r>
      <w:r w:rsidRPr="00094D05">
        <w:rPr>
          <w:i/>
          <w:szCs w:val="18"/>
        </w:rPr>
        <w:t xml:space="preserve">available at </w:t>
      </w:r>
      <w:r w:rsidRPr="00094D05">
        <w:rPr>
          <w:szCs w:val="18"/>
        </w:rPr>
        <w:t>https://www.ncjrs.gov/pdffiles1/nij/grants/196676.pdf.</w:t>
      </w:r>
    </w:p>
  </w:footnote>
  <w:footnote w:id="102">
    <w:p w14:paraId="283256FB" w14:textId="77777777"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83 Fed. Reg. 61464 n.2.</w:t>
      </w:r>
    </w:p>
  </w:footnote>
  <w:footnote w:id="103">
    <w:p w14:paraId="2E3FAE48" w14:textId="77777777"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The NCHERM Group, </w:t>
      </w:r>
      <w:r w:rsidRPr="00094D05">
        <w:rPr>
          <w:i/>
          <w:szCs w:val="18"/>
        </w:rPr>
        <w:t xml:space="preserve">Due Process and the Sex Police </w:t>
      </w:r>
      <w:r w:rsidRPr="00094D05">
        <w:rPr>
          <w:szCs w:val="18"/>
        </w:rPr>
        <w:t>2, 17-18 (Apr. 2017),</w:t>
      </w:r>
      <w:r w:rsidRPr="00094D05">
        <w:rPr>
          <w:i/>
          <w:szCs w:val="18"/>
        </w:rPr>
        <w:t xml:space="preserve"> available at</w:t>
      </w:r>
      <w:r w:rsidRPr="00094D05">
        <w:rPr>
          <w:szCs w:val="18"/>
        </w:rPr>
        <w:t xml:space="preserve"> https://www.ncherm.org/wp-content/uploads/2017/04/TNG-Whitepaper-Final-Electronic-Version.pdf.</w:t>
      </w:r>
    </w:p>
  </w:footnote>
  <w:footnote w:id="104">
    <w:p w14:paraId="5C0DC47D" w14:textId="77777777"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83 Fed. Reg. 61464 n.2.</w:t>
      </w:r>
    </w:p>
  </w:footnote>
  <w:footnote w:id="105">
    <w:p w14:paraId="1737E26E" w14:textId="77777777"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Elizabeth Bartholet, Nancy Gertner, Janet Halley &amp; Jeannie Suk Gersen, </w:t>
      </w:r>
      <w:r w:rsidRPr="00094D05">
        <w:rPr>
          <w:i/>
          <w:szCs w:val="18"/>
        </w:rPr>
        <w:t>Fairness For All Students Under Title IX</w:t>
      </w:r>
      <w:r w:rsidRPr="00094D05">
        <w:rPr>
          <w:szCs w:val="18"/>
        </w:rPr>
        <w:t xml:space="preserve"> 5 (Aug. 21, 2017), </w:t>
      </w:r>
      <w:r w:rsidRPr="00094D05">
        <w:rPr>
          <w:i/>
          <w:szCs w:val="18"/>
        </w:rPr>
        <w:t xml:space="preserve">available at </w:t>
      </w:r>
      <w:r w:rsidRPr="00094D05">
        <w:rPr>
          <w:szCs w:val="18"/>
        </w:rPr>
        <w:t>https://dash.harvard.edu/bitstream/handle/1/33789434/Fairness%20for%20All%20Students.pdf.</w:t>
      </w:r>
    </w:p>
  </w:footnote>
  <w:footnote w:id="106">
    <w:p w14:paraId="55F64278" w14:textId="77777777"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Association of Title IX Administrators, </w:t>
      </w:r>
      <w:r w:rsidRPr="00094D05">
        <w:rPr>
          <w:i/>
          <w:szCs w:val="18"/>
        </w:rPr>
        <w:t>ATIXA Position Statement: Why Colleges Are in the Business of Addressing Sexual Violence</w:t>
      </w:r>
      <w:r w:rsidRPr="00094D05">
        <w:rPr>
          <w:szCs w:val="18"/>
        </w:rPr>
        <w:t xml:space="preserve"> 4 (Feb. 17, 2017), </w:t>
      </w:r>
      <w:r w:rsidRPr="00094D05">
        <w:rPr>
          <w:i/>
          <w:szCs w:val="18"/>
        </w:rPr>
        <w:t xml:space="preserve">available at </w:t>
      </w:r>
      <w:r w:rsidRPr="00094D05">
        <w:rPr>
          <w:szCs w:val="18"/>
        </w:rPr>
        <w:t>https://atixa.org/wordpress/wp-content/uploads/2017/02/2017February-Final-ATIXA-Position-Statement-on-Colleges-Addressing-Sexual-Violence.pdf.</w:t>
      </w:r>
    </w:p>
  </w:footnote>
  <w:footnote w:id="107">
    <w:p w14:paraId="6360CB63" w14:textId="72BF270D"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w:t>
      </w:r>
      <w:r w:rsidRPr="00094D05">
        <w:rPr>
          <w:i/>
          <w:szCs w:val="18"/>
        </w:rPr>
        <w:t>NASPA Title IX Priorities</w:t>
      </w:r>
      <w:r w:rsidRPr="00094D05">
        <w:rPr>
          <w:szCs w:val="18"/>
        </w:rPr>
        <w:t xml:space="preserve">, </w:t>
      </w:r>
      <w:r w:rsidRPr="00094D05">
        <w:rPr>
          <w:i/>
          <w:szCs w:val="18"/>
        </w:rPr>
        <w:t>supra</w:t>
      </w:r>
      <w:r w:rsidRPr="00094D05">
        <w:rPr>
          <w:szCs w:val="18"/>
        </w:rPr>
        <w:t xml:space="preserve"> note </w:t>
      </w:r>
      <w:r w:rsidRPr="00094D05">
        <w:rPr>
          <w:szCs w:val="18"/>
        </w:rPr>
        <w:fldChar w:fldCharType="begin"/>
      </w:r>
      <w:r w:rsidRPr="00094D05">
        <w:rPr>
          <w:szCs w:val="18"/>
        </w:rPr>
        <w:instrText xml:space="preserve"> NOTEREF _Ref533078216 \h  \* MERGEFORMAT </w:instrText>
      </w:r>
      <w:r w:rsidRPr="00094D05">
        <w:rPr>
          <w:szCs w:val="18"/>
        </w:rPr>
      </w:r>
      <w:r w:rsidRPr="00094D05">
        <w:rPr>
          <w:szCs w:val="18"/>
        </w:rPr>
        <w:fldChar w:fldCharType="separate"/>
      </w:r>
      <w:r w:rsidR="0011560B">
        <w:rPr>
          <w:szCs w:val="18"/>
        </w:rPr>
        <w:t>94</w:t>
      </w:r>
      <w:r w:rsidRPr="00094D05">
        <w:rPr>
          <w:szCs w:val="18"/>
        </w:rPr>
        <w:fldChar w:fldCharType="end"/>
      </w:r>
      <w:r w:rsidRPr="00094D05">
        <w:rPr>
          <w:szCs w:val="18"/>
        </w:rPr>
        <w:t xml:space="preserve"> at 1-2.</w:t>
      </w:r>
    </w:p>
  </w:footnote>
  <w:footnote w:id="108">
    <w:p w14:paraId="13676DFC" w14:textId="74F2A6E1"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w:t>
      </w:r>
      <w:r w:rsidRPr="00094D05">
        <w:rPr>
          <w:i/>
          <w:szCs w:val="18"/>
        </w:rPr>
        <w:t xml:space="preserve">ASCA 2014 White Paper, supra </w:t>
      </w:r>
      <w:r w:rsidRPr="00094D05">
        <w:rPr>
          <w:szCs w:val="18"/>
        </w:rPr>
        <w:t xml:space="preserve">note </w:t>
      </w:r>
      <w:r w:rsidRPr="00094D05">
        <w:rPr>
          <w:szCs w:val="18"/>
        </w:rPr>
        <w:fldChar w:fldCharType="begin"/>
      </w:r>
      <w:r w:rsidRPr="00094D05">
        <w:rPr>
          <w:szCs w:val="18"/>
        </w:rPr>
        <w:instrText xml:space="preserve"> NOTEREF _Ref533077789 \h  \* MERGEFORMAT </w:instrText>
      </w:r>
      <w:r w:rsidRPr="00094D05">
        <w:rPr>
          <w:szCs w:val="18"/>
        </w:rPr>
      </w:r>
      <w:r w:rsidRPr="00094D05">
        <w:rPr>
          <w:szCs w:val="18"/>
        </w:rPr>
        <w:fldChar w:fldCharType="separate"/>
      </w:r>
      <w:r w:rsidR="0011560B">
        <w:rPr>
          <w:szCs w:val="18"/>
        </w:rPr>
        <w:t>52</w:t>
      </w:r>
      <w:r w:rsidRPr="00094D05">
        <w:rPr>
          <w:szCs w:val="18"/>
        </w:rPr>
        <w:fldChar w:fldCharType="end"/>
      </w:r>
      <w:r w:rsidRPr="00094D05">
        <w:rPr>
          <w:szCs w:val="18"/>
        </w:rPr>
        <w:t>.</w:t>
      </w:r>
    </w:p>
  </w:footnote>
  <w:footnote w:id="109">
    <w:p w14:paraId="01F307EF" w14:textId="77777777"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Chris Loschiavo &amp; Jennifer L. Waller, </w:t>
      </w:r>
      <w:r w:rsidRPr="00094D05">
        <w:rPr>
          <w:i/>
          <w:szCs w:val="18"/>
        </w:rPr>
        <w:t>The Preponderance of Evidence Standard: Use In Higher Education Campus Conduct Processes</w:t>
      </w:r>
      <w:r w:rsidRPr="00094D05">
        <w:rPr>
          <w:szCs w:val="18"/>
        </w:rPr>
        <w:t xml:space="preserve">, </w:t>
      </w:r>
      <w:r w:rsidRPr="00094D05">
        <w:rPr>
          <w:rFonts w:eastAsia="Times New Roman"/>
          <w:smallCaps/>
          <w:szCs w:val="18"/>
        </w:rPr>
        <w:t>Association</w:t>
      </w:r>
      <w:r w:rsidRPr="00094D05">
        <w:rPr>
          <w:smallCaps/>
          <w:szCs w:val="18"/>
        </w:rPr>
        <w:t xml:space="preserve"> for Student Conduct Admin, </w:t>
      </w:r>
      <w:r w:rsidRPr="00094D05">
        <w:rPr>
          <w:i/>
          <w:szCs w:val="18"/>
        </w:rPr>
        <w:t xml:space="preserve">available at </w:t>
      </w:r>
      <w:r w:rsidRPr="00094D05">
        <w:rPr>
          <w:szCs w:val="18"/>
        </w:rPr>
        <w:t>https://www.theasca.org/files/The%20Preponderance%20of%20Evidence%20Standard.pdf.</w:t>
      </w:r>
    </w:p>
  </w:footnote>
  <w:footnote w:id="110">
    <w:p w14:paraId="638415D1" w14:textId="77777777"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w:t>
      </w:r>
      <w:r w:rsidRPr="00094D05">
        <w:rPr>
          <w:bCs/>
          <w:szCs w:val="18"/>
        </w:rPr>
        <w:t>Proposed rule § 106.45(b)(1)(v).</w:t>
      </w:r>
    </w:p>
  </w:footnote>
  <w:footnote w:id="111">
    <w:p w14:paraId="5D45E365" w14:textId="77777777"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Association of Title IX Administrators, </w:t>
      </w:r>
      <w:r w:rsidRPr="00094D05">
        <w:rPr>
          <w:i/>
          <w:szCs w:val="18"/>
        </w:rPr>
        <w:t>ATIXA Position Statement on the Proposed Legislation Entitled: Promoting Real Opportunity, Success, And Prosperity Through Education Reform (PROSPER) Act (Higher Education Act Reauthorization)</w:t>
      </w:r>
      <w:r w:rsidRPr="00094D05">
        <w:rPr>
          <w:szCs w:val="18"/>
        </w:rPr>
        <w:t xml:space="preserve"> (Jan. 18, 2018), </w:t>
      </w:r>
      <w:r w:rsidRPr="00094D05">
        <w:rPr>
          <w:i/>
          <w:szCs w:val="18"/>
        </w:rPr>
        <w:t xml:space="preserve">available at </w:t>
      </w:r>
      <w:r w:rsidRPr="00094D05">
        <w:rPr>
          <w:szCs w:val="18"/>
        </w:rPr>
        <w:t>https://atixa.org/wordpress/wp-content/uploads/2015/03/ATIXA-POSITION-STATEMENT-ON-PROSPER-ACT-Final.pdf.</w:t>
      </w:r>
    </w:p>
  </w:footnote>
  <w:footnote w:id="112">
    <w:p w14:paraId="5D317CD2" w14:textId="38C7FE82"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DeVos, </w:t>
      </w:r>
      <w:r w:rsidRPr="00094D05">
        <w:rPr>
          <w:i/>
          <w:iCs/>
          <w:szCs w:val="18"/>
        </w:rPr>
        <w:t xml:space="preserve">supra </w:t>
      </w:r>
      <w:r w:rsidRPr="00094D05">
        <w:rPr>
          <w:szCs w:val="18"/>
        </w:rPr>
        <w:t xml:space="preserve">note </w:t>
      </w:r>
      <w:r w:rsidRPr="00094D05">
        <w:rPr>
          <w:szCs w:val="18"/>
        </w:rPr>
        <w:fldChar w:fldCharType="begin"/>
      </w:r>
      <w:r w:rsidRPr="00094D05">
        <w:rPr>
          <w:szCs w:val="18"/>
        </w:rPr>
        <w:instrText xml:space="preserve"> NOTEREF _Ref533078319 \h  \* MERGEFORMAT </w:instrText>
      </w:r>
      <w:r w:rsidRPr="00094D05">
        <w:rPr>
          <w:szCs w:val="18"/>
        </w:rPr>
      </w:r>
      <w:r w:rsidRPr="00094D05">
        <w:rPr>
          <w:szCs w:val="18"/>
        </w:rPr>
        <w:fldChar w:fldCharType="separate"/>
      </w:r>
      <w:r w:rsidR="0011560B">
        <w:rPr>
          <w:szCs w:val="18"/>
        </w:rPr>
        <w:t>65</w:t>
      </w:r>
      <w:r w:rsidRPr="00094D05">
        <w:rPr>
          <w:szCs w:val="18"/>
        </w:rPr>
        <w:fldChar w:fldCharType="end"/>
      </w:r>
      <w:r w:rsidRPr="00094D05">
        <w:rPr>
          <w:szCs w:val="18"/>
        </w:rPr>
        <w:t>.</w:t>
      </w:r>
    </w:p>
  </w:footnote>
  <w:footnote w:id="113">
    <w:p w14:paraId="4E8E6A0B" w14:textId="7C6975D7"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American Bar Association, </w:t>
      </w:r>
      <w:r w:rsidRPr="00094D05">
        <w:rPr>
          <w:i/>
          <w:iCs/>
          <w:szCs w:val="18"/>
        </w:rPr>
        <w:t>supra</w:t>
      </w:r>
      <w:r w:rsidRPr="00094D05">
        <w:rPr>
          <w:szCs w:val="18"/>
        </w:rPr>
        <w:t xml:space="preserve"> note</w:t>
      </w:r>
      <w:r w:rsidRPr="00094D05">
        <w:rPr>
          <w:szCs w:val="18"/>
        </w:rPr>
        <w:fldChar w:fldCharType="begin"/>
      </w:r>
      <w:r w:rsidRPr="00094D05">
        <w:rPr>
          <w:szCs w:val="18"/>
        </w:rPr>
        <w:instrText xml:space="preserve"> NOTEREF _Ref531578145 \h  \* MERGEFORMAT </w:instrText>
      </w:r>
      <w:r w:rsidRPr="00094D05">
        <w:rPr>
          <w:szCs w:val="18"/>
        </w:rPr>
      </w:r>
      <w:r w:rsidRPr="00094D05">
        <w:rPr>
          <w:szCs w:val="18"/>
        </w:rPr>
        <w:fldChar w:fldCharType="separate"/>
      </w:r>
      <w:r w:rsidR="0011560B">
        <w:rPr>
          <w:szCs w:val="18"/>
        </w:rPr>
        <w:t>93</w:t>
      </w:r>
      <w:r w:rsidRPr="00094D05">
        <w:rPr>
          <w:szCs w:val="18"/>
        </w:rPr>
        <w:fldChar w:fldCharType="end"/>
      </w:r>
      <w:r w:rsidRPr="00094D05">
        <w:rPr>
          <w:szCs w:val="18"/>
        </w:rPr>
        <w:t>, at 5.</w:t>
      </w:r>
    </w:p>
  </w:footnote>
  <w:footnote w:id="114">
    <w:p w14:paraId="4886F519" w14:textId="77777777"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Association of Title IX Administrators, </w:t>
      </w:r>
      <w:r w:rsidRPr="00094D05">
        <w:rPr>
          <w:i/>
          <w:szCs w:val="18"/>
        </w:rPr>
        <w:t xml:space="preserve">ATIXA Position Statement on Equitable Appeals Best Practices </w:t>
      </w:r>
      <w:r w:rsidRPr="00094D05">
        <w:rPr>
          <w:szCs w:val="18"/>
        </w:rPr>
        <w:t xml:space="preserve">1 (Oct. 5, 2018), </w:t>
      </w:r>
      <w:r w:rsidRPr="00094D05">
        <w:rPr>
          <w:i/>
          <w:szCs w:val="18"/>
        </w:rPr>
        <w:t xml:space="preserve">available at </w:t>
      </w:r>
      <w:r w:rsidRPr="00094D05">
        <w:rPr>
          <w:szCs w:val="18"/>
        </w:rPr>
        <w:t>https://atixa.org/wordpress/wp-content/uploads/2018/10/2018-ATIXA-Position-Statement-Appeals.pdf.</w:t>
      </w:r>
    </w:p>
  </w:footnote>
  <w:footnote w:id="115">
    <w:p w14:paraId="7C759665" w14:textId="06431A9B"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Bartholet, et al., </w:t>
      </w:r>
      <w:r w:rsidRPr="00094D05">
        <w:rPr>
          <w:i/>
          <w:szCs w:val="18"/>
        </w:rPr>
        <w:t xml:space="preserve">supra </w:t>
      </w:r>
      <w:r w:rsidRPr="00094D05">
        <w:rPr>
          <w:szCs w:val="18"/>
        </w:rPr>
        <w:t xml:space="preserve">note </w:t>
      </w:r>
      <w:r w:rsidRPr="00094D05">
        <w:rPr>
          <w:szCs w:val="18"/>
        </w:rPr>
        <w:fldChar w:fldCharType="begin"/>
      </w:r>
      <w:r w:rsidRPr="00094D05">
        <w:rPr>
          <w:szCs w:val="18"/>
        </w:rPr>
        <w:instrText xml:space="preserve"> NOTEREF _Ref533078541 \h  \* MERGEFORMAT </w:instrText>
      </w:r>
      <w:r w:rsidRPr="00094D05">
        <w:rPr>
          <w:szCs w:val="18"/>
        </w:rPr>
      </w:r>
      <w:r w:rsidRPr="00094D05">
        <w:rPr>
          <w:szCs w:val="18"/>
        </w:rPr>
        <w:fldChar w:fldCharType="separate"/>
      </w:r>
      <w:r w:rsidR="0011560B">
        <w:rPr>
          <w:szCs w:val="18"/>
        </w:rPr>
        <w:t>105</w:t>
      </w:r>
      <w:r w:rsidRPr="00094D05">
        <w:rPr>
          <w:szCs w:val="18"/>
        </w:rPr>
        <w:fldChar w:fldCharType="end"/>
      </w:r>
      <w:r w:rsidRPr="00094D05">
        <w:rPr>
          <w:szCs w:val="18"/>
        </w:rPr>
        <w:t>.</w:t>
      </w:r>
    </w:p>
  </w:footnote>
  <w:footnote w:id="116">
    <w:p w14:paraId="4617AA7C" w14:textId="77777777"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20 U.S.C. § 1092(f)(8)(C).</w:t>
      </w:r>
    </w:p>
  </w:footnote>
  <w:footnote w:id="117">
    <w:p w14:paraId="14F43263" w14:textId="77777777"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20 U.S.C. § 1092(f)(6)(iii); 20 U.S.C § 1092(f)(6)(iv)); 34 C.F.R. § 668.46(a)).</w:t>
      </w:r>
    </w:p>
  </w:footnote>
  <w:footnote w:id="118">
    <w:p w14:paraId="773DC38C" w14:textId="77777777"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20 U.S.C. </w:t>
      </w:r>
      <w:r w:rsidRPr="00094D05">
        <w:rPr>
          <w:rFonts w:eastAsia="Times New Roman"/>
          <w:color w:val="000000"/>
          <w:szCs w:val="18"/>
        </w:rPr>
        <w:t>§ 1092(f)(8)(b)(iv)(I)(aa).</w:t>
      </w:r>
    </w:p>
  </w:footnote>
  <w:footnote w:id="119">
    <w:p w14:paraId="1783CBEC" w14:textId="77777777" w:rsidR="000B2C8D" w:rsidRPr="00094D05" w:rsidRDefault="000B2C8D" w:rsidP="000B2C8D">
      <w:pPr>
        <w:pStyle w:val="FootnoteText"/>
        <w:rPr>
          <w:szCs w:val="18"/>
        </w:rPr>
      </w:pPr>
      <w:r w:rsidRPr="00094D05">
        <w:rPr>
          <w:rStyle w:val="FootnoteReference"/>
          <w:szCs w:val="18"/>
        </w:rPr>
        <w:footnoteRef/>
      </w:r>
      <w:r w:rsidRPr="00094D05">
        <w:rPr>
          <w:szCs w:val="18"/>
        </w:rPr>
        <w:t xml:space="preserve"> 83 Fed. Reg. 61468.</w:t>
      </w:r>
    </w:p>
  </w:footnote>
  <w:footnote w:id="120">
    <w:p w14:paraId="3632CC2A" w14:textId="77777777" w:rsidR="000B2C8D" w:rsidRPr="00071E06" w:rsidRDefault="000B2C8D" w:rsidP="000B2C8D">
      <w:pPr>
        <w:pStyle w:val="FootnoteText"/>
        <w:rPr>
          <w:i/>
          <w:iCs/>
        </w:rPr>
      </w:pPr>
      <w:r w:rsidRPr="00094D05">
        <w:rPr>
          <w:rStyle w:val="FootnoteReference"/>
          <w:szCs w:val="18"/>
        </w:rPr>
        <w:footnoteRef/>
      </w:r>
      <w:r w:rsidRPr="00094D05">
        <w:rPr>
          <w:szCs w:val="18"/>
        </w:rPr>
        <w:t xml:space="preserve"> </w:t>
      </w:r>
      <w:r w:rsidRPr="00094D05">
        <w:rPr>
          <w:i/>
          <w:iCs/>
          <w:szCs w:val="18"/>
        </w:rPr>
        <w:t xml:space="preserve">See </w:t>
      </w:r>
      <w:r w:rsidRPr="00094D05">
        <w:rPr>
          <w:szCs w:val="18"/>
        </w:rPr>
        <w:t xml:space="preserve">Michael C. Dorf, </w:t>
      </w:r>
      <w:r w:rsidRPr="00094D05">
        <w:rPr>
          <w:i/>
          <w:iCs/>
          <w:szCs w:val="18"/>
        </w:rPr>
        <w:t>The Department of Education’s Title IX Power Grab</w:t>
      </w:r>
      <w:r w:rsidRPr="00094D05">
        <w:rPr>
          <w:szCs w:val="18"/>
        </w:rPr>
        <w:t xml:space="preserve">, </w:t>
      </w:r>
      <w:r w:rsidRPr="00094D05">
        <w:rPr>
          <w:smallCaps/>
          <w:szCs w:val="18"/>
        </w:rPr>
        <w:t>Verdict (</w:t>
      </w:r>
      <w:r w:rsidRPr="00094D05">
        <w:rPr>
          <w:szCs w:val="18"/>
        </w:rPr>
        <w:t>Nov. 28, 2018), https://verdict.justia.com/2018/11/28/the-department-of-educations</w:t>
      </w:r>
      <w:r w:rsidRPr="781B3FC2">
        <w:t>-title-ix-power-grab.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CD69F" w14:textId="77777777" w:rsidR="00C2298B" w:rsidRDefault="00C2298B" w:rsidP="00C02509">
    <w:pPr>
      <w:pStyle w:val="Header"/>
      <w:ind w:left="-1944" w:right="-190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76244" w14:textId="77777777" w:rsidR="000C4E58" w:rsidRDefault="000C4E58">
    <w:pPr>
      <w:pStyle w:val="Header"/>
    </w:pPr>
  </w:p>
  <w:p w14:paraId="22F1987B" w14:textId="77777777" w:rsidR="000C4E58" w:rsidRDefault="000C4E58">
    <w:pPr>
      <w:pStyle w:val="Header"/>
    </w:pPr>
    <w:r>
      <w:rPr>
        <w:noProof/>
      </w:rPr>
      <w:drawing>
        <wp:inline distT="0" distB="0" distL="0" distR="0" wp14:anchorId="393FB7E8" wp14:editId="5C7F07E3">
          <wp:extent cx="7080542" cy="11779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140453" cy="11878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66625"/>
    <w:multiLevelType w:val="hybridMultilevel"/>
    <w:tmpl w:val="684C8B6A"/>
    <w:lvl w:ilvl="0" w:tplc="4E84A7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125581"/>
    <w:multiLevelType w:val="hybridMultilevel"/>
    <w:tmpl w:val="798A034E"/>
    <w:lvl w:ilvl="0" w:tplc="AE407C58">
      <w:start w:val="1"/>
      <w:numFmt w:val="lowerLetter"/>
      <w:lvlText w:val="%1."/>
      <w:lvlJc w:val="left"/>
      <w:pPr>
        <w:ind w:left="1080" w:hanging="360"/>
      </w:pPr>
      <w:rPr>
        <w:rFonts w:hint="default"/>
        <w:b/>
      </w:rPr>
    </w:lvl>
    <w:lvl w:ilvl="1" w:tplc="0409001B">
      <w:start w:val="1"/>
      <w:numFmt w:val="lowerRoman"/>
      <w:lvlText w:val="%2."/>
      <w:lvlJc w:val="righ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3E0DFC"/>
    <w:multiLevelType w:val="hybridMultilevel"/>
    <w:tmpl w:val="6AB8B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01DFC"/>
    <w:multiLevelType w:val="hybridMultilevel"/>
    <w:tmpl w:val="98E4D7EA"/>
    <w:lvl w:ilvl="0" w:tplc="AE407C58">
      <w:start w:val="1"/>
      <w:numFmt w:val="lowerLetter"/>
      <w:lvlText w:val="%1."/>
      <w:lvlJc w:val="left"/>
      <w:pPr>
        <w:ind w:left="1080" w:hanging="360"/>
      </w:pPr>
      <w:rPr>
        <w:rFonts w:hint="default"/>
        <w:b/>
      </w:rPr>
    </w:lvl>
    <w:lvl w:ilvl="1" w:tplc="0409001B">
      <w:start w:val="1"/>
      <w:numFmt w:val="lowerRoman"/>
      <w:lvlText w:val="%2."/>
      <w:lvlJc w:val="righ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F71063"/>
    <w:multiLevelType w:val="hybridMultilevel"/>
    <w:tmpl w:val="9D262BA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B71A7"/>
    <w:multiLevelType w:val="hybridMultilevel"/>
    <w:tmpl w:val="E34C641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F147DB3"/>
    <w:multiLevelType w:val="hybridMultilevel"/>
    <w:tmpl w:val="7794010C"/>
    <w:lvl w:ilvl="0" w:tplc="AE407C58">
      <w:start w:val="1"/>
      <w:numFmt w:val="lowerLetter"/>
      <w:lvlText w:val="%1."/>
      <w:lvlJc w:val="left"/>
      <w:pPr>
        <w:ind w:left="1080" w:hanging="360"/>
      </w:pPr>
      <w:rPr>
        <w:rFonts w:hint="default"/>
        <w:b/>
      </w:rPr>
    </w:lvl>
    <w:lvl w:ilvl="1" w:tplc="0409001B">
      <w:start w:val="1"/>
      <w:numFmt w:val="lowerRoman"/>
      <w:lvlText w:val="%2."/>
      <w:lvlJc w:val="righ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8A2E24"/>
    <w:multiLevelType w:val="hybridMultilevel"/>
    <w:tmpl w:val="8FFE9A94"/>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2502702C"/>
    <w:multiLevelType w:val="hybridMultilevel"/>
    <w:tmpl w:val="458EDC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FD461F"/>
    <w:multiLevelType w:val="hybridMultilevel"/>
    <w:tmpl w:val="B1440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5113D2"/>
    <w:multiLevelType w:val="hybridMultilevel"/>
    <w:tmpl w:val="2494B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9CA4CA8"/>
    <w:multiLevelType w:val="hybridMultilevel"/>
    <w:tmpl w:val="B53A24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172A53"/>
    <w:multiLevelType w:val="hybridMultilevel"/>
    <w:tmpl w:val="EB560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B0154F"/>
    <w:multiLevelType w:val="hybridMultilevel"/>
    <w:tmpl w:val="06568526"/>
    <w:lvl w:ilvl="0" w:tplc="AE407C58">
      <w:start w:val="1"/>
      <w:numFmt w:val="lowerLetter"/>
      <w:lvlText w:val="%1."/>
      <w:lvlJc w:val="left"/>
      <w:pPr>
        <w:ind w:left="1080" w:hanging="360"/>
      </w:pPr>
      <w:rPr>
        <w:rFonts w:hint="default"/>
        <w:b/>
      </w:rPr>
    </w:lvl>
    <w:lvl w:ilvl="1" w:tplc="0409001B">
      <w:start w:val="1"/>
      <w:numFmt w:val="lowerRoman"/>
      <w:lvlText w:val="%2."/>
      <w:lvlJc w:val="righ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A10FFA"/>
    <w:multiLevelType w:val="hybridMultilevel"/>
    <w:tmpl w:val="F3A4A25A"/>
    <w:lvl w:ilvl="0" w:tplc="19DC96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2707DA"/>
    <w:multiLevelType w:val="multilevel"/>
    <w:tmpl w:val="EA4C1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AB4EF7"/>
    <w:multiLevelType w:val="hybridMultilevel"/>
    <w:tmpl w:val="FAA674FA"/>
    <w:lvl w:ilvl="0" w:tplc="AE407C58">
      <w:start w:val="1"/>
      <w:numFmt w:val="lowerLetter"/>
      <w:lvlText w:val="%1."/>
      <w:lvlJc w:val="left"/>
      <w:pPr>
        <w:ind w:left="1080" w:hanging="360"/>
      </w:pPr>
      <w:rPr>
        <w:rFonts w:hint="default"/>
        <w:b/>
      </w:rPr>
    </w:lvl>
    <w:lvl w:ilvl="1" w:tplc="0409001B">
      <w:start w:val="1"/>
      <w:numFmt w:val="lowerRoman"/>
      <w:lvlText w:val="%2."/>
      <w:lvlJc w:val="righ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6E010C6"/>
    <w:multiLevelType w:val="hybridMultilevel"/>
    <w:tmpl w:val="FC5028E6"/>
    <w:lvl w:ilvl="0" w:tplc="0409001B">
      <w:start w:val="1"/>
      <w:numFmt w:val="lowerRoman"/>
      <w:lvlText w:val="%1."/>
      <w:lvlJc w:val="right"/>
      <w:pPr>
        <w:ind w:left="1620" w:hanging="18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8" w15:restartNumberingAfterBreak="0">
    <w:nsid w:val="576A4668"/>
    <w:multiLevelType w:val="hybridMultilevel"/>
    <w:tmpl w:val="A5483FE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9" w15:restartNumberingAfterBreak="0">
    <w:nsid w:val="5B115D02"/>
    <w:multiLevelType w:val="hybridMultilevel"/>
    <w:tmpl w:val="98E4D7EA"/>
    <w:lvl w:ilvl="0" w:tplc="AE407C58">
      <w:start w:val="1"/>
      <w:numFmt w:val="lowerLetter"/>
      <w:lvlText w:val="%1."/>
      <w:lvlJc w:val="left"/>
      <w:pPr>
        <w:ind w:left="1080" w:hanging="360"/>
      </w:pPr>
      <w:rPr>
        <w:rFonts w:hint="default"/>
        <w:b/>
      </w:rPr>
    </w:lvl>
    <w:lvl w:ilvl="1" w:tplc="0409001B">
      <w:start w:val="1"/>
      <w:numFmt w:val="lowerRoman"/>
      <w:lvlText w:val="%2."/>
      <w:lvlJc w:val="righ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EFD4DF4"/>
    <w:multiLevelType w:val="hybridMultilevel"/>
    <w:tmpl w:val="02A2832E"/>
    <w:lvl w:ilvl="0" w:tplc="7D16323E">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0AC7951"/>
    <w:multiLevelType w:val="hybridMultilevel"/>
    <w:tmpl w:val="DE18D260"/>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2" w15:restartNumberingAfterBreak="0">
    <w:nsid w:val="634C17D0"/>
    <w:multiLevelType w:val="hybridMultilevel"/>
    <w:tmpl w:val="FAA674FA"/>
    <w:lvl w:ilvl="0" w:tplc="AE407C58">
      <w:start w:val="1"/>
      <w:numFmt w:val="lowerLetter"/>
      <w:lvlText w:val="%1."/>
      <w:lvlJc w:val="left"/>
      <w:pPr>
        <w:ind w:left="1080" w:hanging="360"/>
      </w:pPr>
      <w:rPr>
        <w:rFonts w:hint="default"/>
        <w:b/>
      </w:rPr>
    </w:lvl>
    <w:lvl w:ilvl="1" w:tplc="0409001B">
      <w:start w:val="1"/>
      <w:numFmt w:val="lowerRoman"/>
      <w:lvlText w:val="%2."/>
      <w:lvlJc w:val="righ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54A1BBB"/>
    <w:multiLevelType w:val="hybridMultilevel"/>
    <w:tmpl w:val="FC5028E6"/>
    <w:lvl w:ilvl="0" w:tplc="0409001B">
      <w:start w:val="1"/>
      <w:numFmt w:val="lowerRoman"/>
      <w:lvlText w:val="%1."/>
      <w:lvlJc w:val="right"/>
      <w:pPr>
        <w:ind w:left="1620" w:hanging="18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4" w15:restartNumberingAfterBreak="0">
    <w:nsid w:val="67125A16"/>
    <w:multiLevelType w:val="hybridMultilevel"/>
    <w:tmpl w:val="F79E08F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462334"/>
    <w:multiLevelType w:val="hybridMultilevel"/>
    <w:tmpl w:val="DE809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864171"/>
    <w:multiLevelType w:val="multilevel"/>
    <w:tmpl w:val="7B32CB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E44DB5"/>
    <w:multiLevelType w:val="hybridMultilevel"/>
    <w:tmpl w:val="512C7524"/>
    <w:lvl w:ilvl="0" w:tplc="4E84A7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D4A7820"/>
    <w:multiLevelType w:val="hybridMultilevel"/>
    <w:tmpl w:val="86E6A6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F1D7EEF"/>
    <w:multiLevelType w:val="hybridMultilevel"/>
    <w:tmpl w:val="B0262A18"/>
    <w:lvl w:ilvl="0" w:tplc="2D903FD6">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D47181"/>
    <w:multiLevelType w:val="hybridMultilevel"/>
    <w:tmpl w:val="60482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C77085"/>
    <w:multiLevelType w:val="hybridMultilevel"/>
    <w:tmpl w:val="F836CA48"/>
    <w:lvl w:ilvl="0" w:tplc="01BC026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B9A6B6B6">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1"/>
  </w:num>
  <w:num w:numId="3">
    <w:abstractNumId w:val="22"/>
  </w:num>
  <w:num w:numId="4">
    <w:abstractNumId w:val="25"/>
  </w:num>
  <w:num w:numId="5">
    <w:abstractNumId w:val="20"/>
  </w:num>
  <w:num w:numId="6">
    <w:abstractNumId w:val="21"/>
  </w:num>
  <w:num w:numId="7">
    <w:abstractNumId w:val="23"/>
  </w:num>
  <w:num w:numId="8">
    <w:abstractNumId w:val="17"/>
  </w:num>
  <w:num w:numId="9">
    <w:abstractNumId w:val="5"/>
  </w:num>
  <w:num w:numId="10">
    <w:abstractNumId w:val="7"/>
  </w:num>
  <w:num w:numId="11">
    <w:abstractNumId w:val="13"/>
  </w:num>
  <w:num w:numId="12">
    <w:abstractNumId w:val="4"/>
  </w:num>
  <w:num w:numId="13">
    <w:abstractNumId w:val="14"/>
  </w:num>
  <w:num w:numId="14">
    <w:abstractNumId w:val="26"/>
    <w:lvlOverride w:ilvl="3">
      <w:lvl w:ilvl="3">
        <w:numFmt w:val="bullet"/>
        <w:lvlText w:val=""/>
        <w:lvlJc w:val="left"/>
        <w:pPr>
          <w:tabs>
            <w:tab w:val="num" w:pos="2880"/>
          </w:tabs>
          <w:ind w:left="2880" w:hanging="360"/>
        </w:pPr>
        <w:rPr>
          <w:rFonts w:ascii="Symbol" w:hAnsi="Symbol" w:hint="default"/>
          <w:sz w:val="20"/>
        </w:rPr>
      </w:lvl>
    </w:lvlOverride>
  </w:num>
  <w:num w:numId="15">
    <w:abstractNumId w:val="3"/>
  </w:num>
  <w:num w:numId="16">
    <w:abstractNumId w:val="1"/>
  </w:num>
  <w:num w:numId="17">
    <w:abstractNumId w:val="19"/>
  </w:num>
  <w:num w:numId="18">
    <w:abstractNumId w:val="15"/>
  </w:num>
  <w:num w:numId="19">
    <w:abstractNumId w:val="26"/>
  </w:num>
  <w:num w:numId="20">
    <w:abstractNumId w:val="27"/>
  </w:num>
  <w:num w:numId="21">
    <w:abstractNumId w:val="0"/>
  </w:num>
  <w:num w:numId="22">
    <w:abstractNumId w:val="11"/>
  </w:num>
  <w:num w:numId="23">
    <w:abstractNumId w:val="6"/>
  </w:num>
  <w:num w:numId="24">
    <w:abstractNumId w:val="16"/>
  </w:num>
  <w:num w:numId="25">
    <w:abstractNumId w:val="24"/>
  </w:num>
  <w:num w:numId="26">
    <w:abstractNumId w:val="8"/>
  </w:num>
  <w:num w:numId="27">
    <w:abstractNumId w:val="29"/>
  </w:num>
  <w:num w:numId="28">
    <w:abstractNumId w:val="28"/>
  </w:num>
  <w:num w:numId="29">
    <w:abstractNumId w:val="10"/>
  </w:num>
  <w:num w:numId="30">
    <w:abstractNumId w:val="18"/>
  </w:num>
  <w:num w:numId="31">
    <w:abstractNumId w:val="30"/>
  </w:num>
  <w:num w:numId="32">
    <w:abstractNumId w:val="2"/>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B2C8D"/>
    <w:rsid w:val="000952D3"/>
    <w:rsid w:val="000B0D9D"/>
    <w:rsid w:val="000B2C8D"/>
    <w:rsid w:val="000C4E58"/>
    <w:rsid w:val="0011560B"/>
    <w:rsid w:val="00125B15"/>
    <w:rsid w:val="00167341"/>
    <w:rsid w:val="0017374F"/>
    <w:rsid w:val="0024362D"/>
    <w:rsid w:val="0029199F"/>
    <w:rsid w:val="002B0480"/>
    <w:rsid w:val="002D4ED1"/>
    <w:rsid w:val="00305E93"/>
    <w:rsid w:val="003A7442"/>
    <w:rsid w:val="003D746C"/>
    <w:rsid w:val="004D7FFE"/>
    <w:rsid w:val="00621F70"/>
    <w:rsid w:val="0063124B"/>
    <w:rsid w:val="006454B3"/>
    <w:rsid w:val="00682B28"/>
    <w:rsid w:val="0069762C"/>
    <w:rsid w:val="006D5AFE"/>
    <w:rsid w:val="00855904"/>
    <w:rsid w:val="00A16BE0"/>
    <w:rsid w:val="00A532BE"/>
    <w:rsid w:val="00A767AC"/>
    <w:rsid w:val="00BF52E7"/>
    <w:rsid w:val="00C02509"/>
    <w:rsid w:val="00C2298B"/>
    <w:rsid w:val="00C74D96"/>
    <w:rsid w:val="00CA74A5"/>
    <w:rsid w:val="00CB655A"/>
    <w:rsid w:val="00D4032A"/>
    <w:rsid w:val="00D53597"/>
    <w:rsid w:val="00E4269F"/>
    <w:rsid w:val="00E53642"/>
    <w:rsid w:val="00EA1010"/>
    <w:rsid w:val="00EC7163"/>
    <w:rsid w:val="00F2378E"/>
    <w:rsid w:val="00F57A55"/>
    <w:rsid w:val="00FA29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4D19039"/>
  <w14:defaultImageDpi w14:val="300"/>
  <w15:docId w15:val="{791D40EF-3489-4048-8719-EFCD3D2B7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Shriver Letterhead"/>
    <w:qFormat/>
    <w:rsid w:val="000B2C8D"/>
    <w:pPr>
      <w:spacing w:after="160" w:line="259" w:lineRule="auto"/>
    </w:pPr>
    <w:rPr>
      <w:rFonts w:asciiTheme="minorHAnsi" w:eastAsiaTheme="minorHAnsi" w:hAnsiTheme="minorHAnsi" w:cstheme="minorBidi"/>
      <w:sz w:val="22"/>
      <w:szCs w:val="22"/>
    </w:rPr>
  </w:style>
  <w:style w:type="paragraph" w:styleId="Heading1">
    <w:name w:val="heading 1"/>
    <w:basedOn w:val="Normal"/>
    <w:link w:val="Heading1Char"/>
    <w:uiPriority w:val="9"/>
    <w:qFormat/>
    <w:rsid w:val="000B2C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65E9"/>
    <w:pPr>
      <w:tabs>
        <w:tab w:val="center" w:pos="4320"/>
        <w:tab w:val="right" w:pos="8640"/>
      </w:tabs>
    </w:pPr>
  </w:style>
  <w:style w:type="paragraph" w:styleId="Footer">
    <w:name w:val="footer"/>
    <w:basedOn w:val="Normal"/>
    <w:link w:val="FooterChar"/>
    <w:uiPriority w:val="99"/>
    <w:rsid w:val="00A665E9"/>
    <w:pPr>
      <w:tabs>
        <w:tab w:val="center" w:pos="4320"/>
        <w:tab w:val="right" w:pos="8640"/>
      </w:tabs>
    </w:pPr>
  </w:style>
  <w:style w:type="paragraph" w:customStyle="1" w:styleId="Style1">
    <w:name w:val="Style1"/>
    <w:basedOn w:val="Normal"/>
    <w:rsid w:val="00A665E9"/>
    <w:rPr>
      <w:lang w:val="ru-RU"/>
    </w:rPr>
  </w:style>
  <w:style w:type="paragraph" w:customStyle="1" w:styleId="ShriverLetter">
    <w:name w:val="Shriver Letter"/>
    <w:basedOn w:val="Normal"/>
    <w:rsid w:val="00A665E9"/>
  </w:style>
  <w:style w:type="paragraph" w:customStyle="1" w:styleId="BasicParagraph">
    <w:name w:val="[Basic Paragraph]"/>
    <w:basedOn w:val="Normal"/>
    <w:rsid w:val="000B4E9A"/>
    <w:pPr>
      <w:widowControl w:val="0"/>
      <w:autoSpaceDE w:val="0"/>
      <w:autoSpaceDN w:val="0"/>
      <w:adjustRightInd w:val="0"/>
      <w:spacing w:line="288" w:lineRule="auto"/>
      <w:textAlignment w:val="center"/>
    </w:pPr>
    <w:rPr>
      <w:rFonts w:ascii="Times-Roman" w:hAnsi="Times-Roman" w:cs="Times-Roman"/>
      <w:color w:val="000000"/>
      <w:sz w:val="24"/>
      <w:lang w:bidi="en-US"/>
    </w:rPr>
  </w:style>
  <w:style w:type="paragraph" w:customStyle="1" w:styleId="Default">
    <w:name w:val="Default"/>
    <w:rsid w:val="000B4E9A"/>
    <w:pPr>
      <w:widowControl w:val="0"/>
      <w:autoSpaceDE w:val="0"/>
      <w:autoSpaceDN w:val="0"/>
      <w:adjustRightInd w:val="0"/>
    </w:pPr>
    <w:rPr>
      <w:rFonts w:ascii="Palatino" w:hAnsi="Palatino" w:cs="Palatino"/>
      <w:color w:val="000000"/>
      <w:sz w:val="24"/>
      <w:szCs w:val="24"/>
      <w:lang w:bidi="en-US"/>
    </w:rPr>
  </w:style>
  <w:style w:type="paragraph" w:styleId="BalloonText">
    <w:name w:val="Balloon Text"/>
    <w:basedOn w:val="Normal"/>
    <w:link w:val="BalloonTextChar"/>
    <w:uiPriority w:val="99"/>
    <w:semiHidden/>
    <w:unhideWhenUsed/>
    <w:rsid w:val="00125B1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5B15"/>
    <w:rPr>
      <w:rFonts w:ascii="Lucida Grande" w:hAnsi="Lucida Grande" w:cs="Lucida Grande"/>
      <w:sz w:val="18"/>
      <w:szCs w:val="18"/>
    </w:rPr>
  </w:style>
  <w:style w:type="character" w:customStyle="1" w:styleId="Heading1Char">
    <w:name w:val="Heading 1 Char"/>
    <w:basedOn w:val="DefaultParagraphFont"/>
    <w:link w:val="Heading1"/>
    <w:uiPriority w:val="9"/>
    <w:rsid w:val="000B2C8D"/>
    <w:rPr>
      <w:b/>
      <w:bCs/>
      <w:kern w:val="36"/>
      <w:sz w:val="48"/>
      <w:szCs w:val="48"/>
    </w:rPr>
  </w:style>
  <w:style w:type="character" w:styleId="Hyperlink">
    <w:name w:val="Hyperlink"/>
    <w:basedOn w:val="DefaultParagraphFont"/>
    <w:uiPriority w:val="99"/>
    <w:unhideWhenUsed/>
    <w:rsid w:val="000B2C8D"/>
    <w:rPr>
      <w:color w:val="0000FF" w:themeColor="hyperlink"/>
      <w:u w:val="single"/>
    </w:rPr>
  </w:style>
  <w:style w:type="character" w:customStyle="1" w:styleId="UnresolvedMention1">
    <w:name w:val="Unresolved Mention1"/>
    <w:basedOn w:val="DefaultParagraphFont"/>
    <w:uiPriority w:val="99"/>
    <w:semiHidden/>
    <w:unhideWhenUsed/>
    <w:rsid w:val="000B2C8D"/>
    <w:rPr>
      <w:color w:val="605E5C"/>
      <w:shd w:val="clear" w:color="auto" w:fill="E1DFDD"/>
    </w:rPr>
  </w:style>
  <w:style w:type="paragraph" w:styleId="ListParagraph">
    <w:name w:val="List Paragraph"/>
    <w:basedOn w:val="Normal"/>
    <w:uiPriority w:val="34"/>
    <w:qFormat/>
    <w:rsid w:val="000B2C8D"/>
    <w:pPr>
      <w:ind w:left="720"/>
      <w:contextualSpacing/>
    </w:pPr>
  </w:style>
  <w:style w:type="paragraph" w:styleId="NormalWeb">
    <w:name w:val="Normal (Web)"/>
    <w:basedOn w:val="Normal"/>
    <w:uiPriority w:val="99"/>
    <w:semiHidden/>
    <w:unhideWhenUsed/>
    <w:rsid w:val="000B2C8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B2C8D"/>
    <w:rPr>
      <w:sz w:val="16"/>
      <w:szCs w:val="16"/>
    </w:rPr>
  </w:style>
  <w:style w:type="paragraph" w:styleId="CommentText">
    <w:name w:val="annotation text"/>
    <w:basedOn w:val="Normal"/>
    <w:link w:val="CommentTextChar"/>
    <w:uiPriority w:val="99"/>
    <w:unhideWhenUsed/>
    <w:rsid w:val="000B2C8D"/>
    <w:pPr>
      <w:spacing w:line="240" w:lineRule="auto"/>
    </w:pPr>
    <w:rPr>
      <w:sz w:val="20"/>
      <w:szCs w:val="20"/>
    </w:rPr>
  </w:style>
  <w:style w:type="character" w:customStyle="1" w:styleId="CommentTextChar">
    <w:name w:val="Comment Text Char"/>
    <w:basedOn w:val="DefaultParagraphFont"/>
    <w:link w:val="CommentText"/>
    <w:uiPriority w:val="99"/>
    <w:rsid w:val="000B2C8D"/>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0B2C8D"/>
    <w:rPr>
      <w:b/>
      <w:bCs/>
    </w:rPr>
  </w:style>
  <w:style w:type="character" w:customStyle="1" w:styleId="CommentSubjectChar">
    <w:name w:val="Comment Subject Char"/>
    <w:basedOn w:val="CommentTextChar"/>
    <w:link w:val="CommentSubject"/>
    <w:uiPriority w:val="99"/>
    <w:semiHidden/>
    <w:rsid w:val="000B2C8D"/>
    <w:rPr>
      <w:rFonts w:asciiTheme="minorHAnsi" w:eastAsiaTheme="minorHAnsi" w:hAnsiTheme="minorHAnsi" w:cstheme="minorBidi"/>
      <w:b/>
      <w:bCs/>
    </w:rPr>
  </w:style>
  <w:style w:type="character" w:styleId="FootnoteReference">
    <w:name w:val="footnote reference"/>
    <w:basedOn w:val="DefaultParagraphFont"/>
    <w:uiPriority w:val="99"/>
    <w:unhideWhenUsed/>
    <w:rsid w:val="000B2C8D"/>
    <w:rPr>
      <w:rFonts w:ascii="Times New Roman" w:hAnsi="Times New Roman"/>
      <w:sz w:val="20"/>
      <w:vertAlign w:val="superscript"/>
    </w:rPr>
  </w:style>
  <w:style w:type="paragraph" w:styleId="FootnoteText">
    <w:name w:val="footnote text"/>
    <w:aliases w:val="Tablenote Text,ft"/>
    <w:basedOn w:val="Normal"/>
    <w:link w:val="FootnoteTextChar"/>
    <w:uiPriority w:val="99"/>
    <w:unhideWhenUsed/>
    <w:rsid w:val="000B2C8D"/>
    <w:pPr>
      <w:spacing w:after="0" w:line="240" w:lineRule="auto"/>
    </w:pPr>
    <w:rPr>
      <w:rFonts w:ascii="Times New Roman" w:eastAsia="Calibri" w:hAnsi="Times New Roman" w:cs="Times New Roman"/>
      <w:sz w:val="18"/>
      <w:szCs w:val="20"/>
    </w:rPr>
  </w:style>
  <w:style w:type="character" w:customStyle="1" w:styleId="FootnoteTextChar">
    <w:name w:val="Footnote Text Char"/>
    <w:aliases w:val="Tablenote Text Char,ft Char"/>
    <w:basedOn w:val="DefaultParagraphFont"/>
    <w:link w:val="FootnoteText"/>
    <w:uiPriority w:val="99"/>
    <w:rsid w:val="000B2C8D"/>
    <w:rPr>
      <w:rFonts w:eastAsia="Calibri"/>
      <w:sz w:val="18"/>
    </w:rPr>
  </w:style>
  <w:style w:type="character" w:styleId="Emphasis">
    <w:name w:val="Emphasis"/>
    <w:basedOn w:val="DefaultParagraphFont"/>
    <w:uiPriority w:val="20"/>
    <w:qFormat/>
    <w:rsid w:val="000B2C8D"/>
    <w:rPr>
      <w:i/>
      <w:iCs/>
    </w:rPr>
  </w:style>
  <w:style w:type="character" w:customStyle="1" w:styleId="HeaderChar">
    <w:name w:val="Header Char"/>
    <w:basedOn w:val="DefaultParagraphFont"/>
    <w:link w:val="Header"/>
    <w:uiPriority w:val="99"/>
    <w:rsid w:val="000B2C8D"/>
    <w:rPr>
      <w:rFonts w:ascii="Garamond" w:hAnsi="Garamond"/>
      <w:szCs w:val="24"/>
    </w:rPr>
  </w:style>
  <w:style w:type="character" w:customStyle="1" w:styleId="FooterChar">
    <w:name w:val="Footer Char"/>
    <w:basedOn w:val="DefaultParagraphFont"/>
    <w:link w:val="Footer"/>
    <w:uiPriority w:val="99"/>
    <w:rsid w:val="000B2C8D"/>
    <w:rPr>
      <w:rFonts w:ascii="Garamond" w:hAnsi="Garamond"/>
      <w:szCs w:val="24"/>
    </w:rPr>
  </w:style>
  <w:style w:type="paragraph" w:styleId="Revision">
    <w:name w:val="Revision"/>
    <w:hidden/>
    <w:uiPriority w:val="99"/>
    <w:semiHidden/>
    <w:rsid w:val="000B2C8D"/>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0B2C8D"/>
    <w:rPr>
      <w:color w:val="800080" w:themeColor="followedHyperlink"/>
      <w:u w:val="single"/>
    </w:rPr>
  </w:style>
  <w:style w:type="character" w:customStyle="1" w:styleId="highlight">
    <w:name w:val="highlight"/>
    <w:basedOn w:val="DefaultParagraphFont"/>
    <w:rsid w:val="000B2C8D"/>
  </w:style>
  <w:style w:type="table" w:styleId="TableGrid">
    <w:name w:val="Table Grid"/>
    <w:basedOn w:val="TableNormal"/>
    <w:uiPriority w:val="59"/>
    <w:rsid w:val="000B2C8D"/>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unhideWhenUsed/>
    <w:rsid w:val="000B2C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endypollack@povertylaw.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vertylaw.org/files/publications/Shriver%20report_draft%204.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povertylaw.org/files/publications/Shriver%20report_draft%204.pdf" TargetMode="External"/><Relationship Id="rId4" Type="http://schemas.openxmlformats.org/officeDocument/2006/relationships/settings" Target="settings.xml"/><Relationship Id="rId9" Type="http://schemas.openxmlformats.org/officeDocument/2006/relationships/hyperlink" Target="http://povertylaw.org/files/publications/Shriver%20report_draft%204.pdf"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history.aauw.org/aauw-research/2006-drawing-the-lin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pollack\Downloads\letterhead-2018%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45F71-C142-4C5D-B8E8-AFE273219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letterhead-2018 (4)</Template>
  <TotalTime>31</TotalTime>
  <Pages>1</Pages>
  <Words>7841</Words>
  <Characters>44694</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52431</CharactersWithSpaces>
  <SharedDoc>false</SharedDoc>
  <HLinks>
    <vt:vector size="12" baseType="variant">
      <vt:variant>
        <vt:i4>3473501</vt:i4>
      </vt:variant>
      <vt:variant>
        <vt:i4>2061</vt:i4>
      </vt:variant>
      <vt:variant>
        <vt:i4>1025</vt:i4>
      </vt:variant>
      <vt:variant>
        <vt:i4>1</vt:i4>
      </vt:variant>
      <vt:variant>
        <vt:lpwstr>Shriver_Letterhead_Header</vt:lpwstr>
      </vt:variant>
      <vt:variant>
        <vt:lpwstr/>
      </vt:variant>
      <vt:variant>
        <vt:i4>3473479</vt:i4>
      </vt:variant>
      <vt:variant>
        <vt:i4>-1</vt:i4>
      </vt:variant>
      <vt:variant>
        <vt:i4>2050</vt:i4>
      </vt:variant>
      <vt:variant>
        <vt:i4>1</vt:i4>
      </vt:variant>
      <vt:variant>
        <vt:lpwstr>Shriver_Letterhead_Footer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wendypollack</dc:creator>
  <cp:keywords/>
  <cp:lastModifiedBy>Wendy Pollack</cp:lastModifiedBy>
  <cp:revision>22</cp:revision>
  <cp:lastPrinted>2019-01-22T16:51:00Z</cp:lastPrinted>
  <dcterms:created xsi:type="dcterms:W3CDTF">2019-01-22T16:23:00Z</dcterms:created>
  <dcterms:modified xsi:type="dcterms:W3CDTF">2019-01-22T17:12:00Z</dcterms:modified>
</cp:coreProperties>
</file>